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BP.2008.6 vom 25. Januar 2008</w:t>
      </w:r>
    </w:p>
    <w:p>
      <w:r>
        <w:t>Bundesstrafgericht, 2008-01-25, FR</w:t>
      </w:r>
    </w:p>
    <w:p>
      <w:r>
        <w:rPr>
          <w:b/>
        </w:rPr>
        <w:t xml:space="preserve">Quelle: </w:t>
      </w:r>
      <w:r>
        <w:t>https://mcp.opencaselaw.ch/entscheid/bstger_BP.2008.6</w:t>
      </w:r>
    </w:p>
    <w:p>
      <w:r>
        <w:t>FR: TPF BP.2008.6 du 25 janvier 2008</w:t>
      </w:r>
    </w:p>
    <w:p>
      <w:r>
        <w:t>IT: TPF BP.2008.6 del 25 gennaio 2008</w:t>
      </w:r>
    </w:p>
    <w:p>
      <w:pPr>
        <w:pStyle w:val="Heading2"/>
      </w:pPr>
      <w:r>
        <w:t>Regeste</w:t>
      </w:r>
    </w:p>
    <w:p>
      <w:r>
        <w:t>Mesures de substitution à la détention (art. 50, 53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est suspendue jusqu'à l'entrée en force de la décision du Tri- bunal fédéral sur la compétence.</w:t>
      </w:r>
    </w:p>
    <w:p>
      <w:r>
        <w:rPr>
          <w:b/>
        </w:rPr>
        <w:t>E. 2</w:t>
      </w:r>
    </w:p>
    <w:p>
      <w:r>
        <w:t>Le présente ordonnance est rendue sans frais.</w:t>
      </w:r>
    </w:p>
    <w:p>
      <w:r>
        <w:t>Bellinzone, le 25 janvier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Christophe Piguet, avocat - Cour des affaires pénales du Tribunal pénal fédéral - Tribunal fédéral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