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BP.2008.58 vom 17. November 2008</w:t>
      </w:r>
    </w:p>
    <w:p>
      <w:r>
        <w:t>Bundesstrafgericht, 2008-11-17, DE</w:t>
      </w:r>
    </w:p>
    <w:p>
      <w:r>
        <w:rPr>
          <w:b/>
        </w:rPr>
        <w:t xml:space="preserve">Quelle: </w:t>
      </w:r>
      <w:r>
        <w:t>https://mcp.opencaselaw.ch/entscheid/bstger_BP.2008.58</w:t>
      </w:r>
    </w:p>
    <w:p>
      <w:r>
        <w:t>FR: TPF BP.2008.58 du 17 novembre 2008</w:t>
      </w:r>
    </w:p>
    <w:p>
      <w:r>
        <w:t>IT: TPF BP.2008.58 del 17 novembre 2008</w:t>
      </w:r>
    </w:p>
    <w:p>
      <w:pPr>
        <w:pStyle w:val="Heading2"/>
      </w:pPr>
      <w:r>
        <w:t>Regeste</w:t>
      </w:r>
    </w:p>
    <w:p>
      <w:r>
        <w:t>Aufschiebende Wirkung (Art. 218 BStP)</w:t>
      </w:r>
    </w:p>
    <w:p>
      <w:pPr>
        <w:pStyle w:val="Heading2"/>
      </w:pPr>
      <w:r>
        <w:t>Erwägungen</w:t>
      </w:r>
    </w:p>
    <w:p>
      <w:r>
        <w:rPr>
          <w:b/>
        </w:rPr>
        <w:t>E. 9</w:t>
      </w:r>
    </w:p>
    <w:p>
      <w:r>
        <w:t>September 2008 (BB.2008.96 act. 1.2) und vom 24. Oktober 2008 (BB.2008.95 act. 1.2) jeweils eine Beschwerde erhob und ein Gesuch um Erteilung der aufschiebenden Wirkung stellte (BB.2008.95 und BB.2008.96, jeweils act. 1);</w:t>
      </w:r>
    </w:p>
    <w:p>
      <w:r>
        <w:t>- die Beschwerde den Vollzug der angefochtenen Verfügung nur hemmt, wenn die I. Beschwerdekammer oder ihr Präsident es anordnet (Art. 218 BStP);</w:t>
      </w:r>
    </w:p>
    <w:p>
      <w:r>
        <w:t>- die Gewährung des Suspensiveffektes in der Regel von den konkreten Umständen und einer Abwägung der widerstreitenden Interessen abhängt (vgl. BGE 107 Ia 269 E. 1 S. 270 f) und der Vollzug der angefochtenen Ver- fügung nicht aufgeschoben werden darf, wenn damit der Zweck der Unter- suchung bzw. der mit der Massnahme angestrebte Zweck gefährdet oder vereitelt würde (vgl. GUIDON/WÜTHRICH, Zur Praxis bei Beschwerden gegen</w:t>
      </w:r>
    </w:p>
    <w:p>
      <w:r>
        <w:t>- 3 -</w:t>
      </w:r>
    </w:p>
    <w:p>
      <w:r>
        <w:t>das Bundesstrafgericht, plädoyer 4/2005, S. 34 ff, 39 f; BÖSCH, Die Ankla- gekammer des Schweizerischen Bundesgerichts [Aufgaben und Verfah- ren], Diss. Zürich 1978, S. 87);</w:t>
      </w:r>
    </w:p>
    <w:p>
      <w:r>
        <w:t>- vorliegend die Gesuchstellerin – prima facie nicht ganz zu Unrecht – gel- tend macht, dass die angeordnete Aktenöffnung eine Gefährdung ihrer Ge- schäfts- und Fabrikationsdaten darstelle und somit einen schwer wiegen- den, nicht wieder gutzumachenden Nachteil nach sich ziehen würde;</w:t>
      </w:r>
    </w:p>
    <w:p>
      <w:r>
        <w:t>- die Vorinstanz mit ihrer zweiten Anordnung vom 24. Oktober 2008 inhaltlich die Zusprechung der aufschiebenden Wirkung vorweg genommen hat, wo- bei die Gesuchstellerin bemängelt, dass nicht klar sei, für wie lange die an- gefochtene Verfügung ausgesetzt werde (BB.2008.95 act. 1 Ziff. III.1);</w:t>
      </w:r>
    </w:p>
    <w:p>
      <w:r>
        <w:t>- im Sinne der Klarheit den beiden Beschwerden der Gesuchstellerin bis zum rechtskräftigen Abschluss der beiden Beschwerdeverfahren die aufschie- bende Wirkung erteilt wird, womit der Vollzug der angefochtenen Verfü- gungen gehemmt wird;</w:t>
      </w:r>
    </w:p>
    <w:p>
      <w:r>
        <w:t>- die Kosten der vorliegenden Verfügung bei der Hauptsache bleiben;</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