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BP.2008.1 vom 30. Januar 2008</w:t>
      </w:r>
    </w:p>
    <w:p>
      <w:r>
        <w:t>Bundesstrafgericht, 2008-01-30, DE</w:t>
      </w:r>
    </w:p>
    <w:p>
      <w:r>
        <w:rPr>
          <w:b/>
        </w:rPr>
        <w:t xml:space="preserve">Quelle: </w:t>
      </w:r>
      <w:r>
        <w:t>https://mcp.opencaselaw.ch/entscheid/bstger_BP.2008.1</w:t>
      </w:r>
    </w:p>
    <w:p>
      <w:r>
        <w:t>FR: TPF BP.2008.1 du 30 janvier 2008</w:t>
      </w:r>
    </w:p>
    <w:p>
      <w:r>
        <w:t>IT: TPF BP.2008.1 del 30 gennaio 2008</w:t>
      </w:r>
    </w:p>
    <w:p>
      <w:pPr>
        <w:pStyle w:val="Heading2"/>
      </w:pPr>
      <w:r>
        <w:t>Regeste</w:t>
      </w:r>
    </w:p>
    <w:p>
      <w:r>
        <w:t>Ausstandsbegehren (Art. 99 Abs. 1 BStP, Art. 131 f. BGG i.V.m. Art. 34 ff. BGG) im Gerichtsstandsverfahren TPF BG.2007.32 (A. gegen Kanton Freiburg)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Bundesstrafgericht; SR 173.711.32) und zur Hauptsache (TPF BG.2007.32) geschlagen wird.</w:t>
      </w:r>
    </w:p>
    <w:p>
      <w:r>
        <w:t>- 5 -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