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BK.2011.26 vom 15. Juni 2012</w:t>
      </w:r>
    </w:p>
    <w:p>
      <w:r>
        <w:t>Bundesstrafgericht, 2012-06-15, DE</w:t>
      </w:r>
    </w:p>
    <w:p>
      <w:r>
        <w:rPr>
          <w:b/>
        </w:rPr>
        <w:t xml:space="preserve">Quelle: </w:t>
      </w:r>
      <w:r>
        <w:t>https://mcp.opencaselaw.ch/entscheid/bstger_BK.2011.26</w:t>
      </w:r>
    </w:p>
    <w:p>
      <w:r>
        <w:t>FR: TPF BK.2011.26 du 15 juin 2012</w:t>
      </w:r>
    </w:p>
    <w:p>
      <w:r>
        <w:t>IT: TPF BK.2011.26 del 15 giugno 2012</w:t>
      </w:r>
    </w:p>
    <w:p>
      <w:pPr>
        <w:pStyle w:val="Heading2"/>
      </w:pPr>
      <w:r>
        <w:t>Regeste</w:t>
      </w:r>
    </w:p>
    <w:p>
      <w:r>
        <w:t>Entschädigung von Dritten (Art. 434 i.V.m. Art. 433 Abs. 2 StPO).</w:t>
      </w:r>
    </w:p>
    <w:p>
      <w:pPr>
        <w:pStyle w:val="Heading2"/>
      </w:pPr>
      <w:r>
        <w:t>Erwägungen</w:t>
      </w:r>
    </w:p>
    <w:p>
      <w:r>
        <w:rPr>
          <w:b/>
        </w:rPr>
        <w:t>E. 1.1</w:t>
      </w:r>
    </w:p>
    <w:p>
      <w:r>
        <w:t>Gegen die Verfügungen der Bundesanwaltschaft kann innert 10 Tagen seit deren Eröffnung bei der Beschwerdekammer des Bundesstrafgerichts we- gen Rechtsverletzungen, unvollständiger oder unrichtiger Sachverhaltsfest- stellung oder Unangemessenheit schriftlich und begründet Beschwerde eingereicht werden (Art. 393ff StPO i.V.m. Art. 37 Abs. 1 StBOG und Art. 19 Abs. 1 des Organisationsreglements vom 31. August 2010 für das Bundesstrafgericht [Organisationsreglement BStGer, BStGerOR; SR 173.713.161]). Voraussetzung zur Beschwerdeerhebung ist dabei auf Seiten des Beschwerdeführers ein rechtlich geschütztes Interesse an der Aufhebung oder Änderung der angefochtenen Verfügung (Art. 382 Abs. 1 StPO).</w:t>
      </w:r>
    </w:p>
    <w:p>
      <w:r>
        <w:rPr>
          <w:b/>
        </w:rPr>
        <w:t>E. 1.2</w:t>
      </w:r>
    </w:p>
    <w:p>
      <w:r>
        <w:t>Als durch die Beschlagnahme ihres Fahrzeugs in der Strafuntersuchung gegen ihren ehemaligen Ehemann und andere Beschuldigte betroffene Dritte ist die Beschwerdeführerin durch die angefochtene Verfügung (act. 2.5) in dem Sinne beschwert, als dadurch ihr Antrag auf Ausrichtung einer Entschädigung im Sinne von Art. 434 Abs. 1 StPO von der Bundes- anwaltschaft vollumfänglich abgewiesen wurde. Die angefochtene Verfü- gung ist der Beschwerdeführerin am 18. November 2011 zugestellt worden (act. 3). Mit der an die Bundesanwaltschaft adressierten Beschwerdeschrift vom 28. November 2011 wurde die Frist gemäss Art. 396 Abs. 1 StPO so- mit gewahrt. Die Eintretensvoraussetzungen bezüglich der vorliegenden Beschwerde sind deshalb erfüllt und geben keinen Anlass zu weiteren Be- merkungen. Auf die Beschwerde ist einzutreten.</w:t>
      </w:r>
    </w:p>
    <w:p>
      <w:r>
        <w:t>- 4 -</w:t>
      </w:r>
    </w:p>
    <w:p>
      <w:r>
        <w:rPr>
          <w:b/>
        </w:rPr>
        <w:t>E. 2.1</w:t>
      </w:r>
    </w:p>
    <w:p>
      <w:r>
        <w:t>Gemäss Art. 434 Abs. 1 StPO haben Dritte Anspruch auf angemessenen Ersatz ihres nicht auf andere Weise gedeckten Schadens sowie auf Ge- nugtuung, wenn sie durch Verfahrenshandlungen oder bei der Unterstüt- zung von Strafbehörden Schaden erlitten haben. Art. 433 Abs. 2 StPO ist dabei sinngemäss anwendbar, was bedeutet, dass der Schadenersatz be- antragende Dritte die Entschädigungsforderung bei der Strafbehörde zu beantragen, zu beziffern und zu belegen hat. Im Falle einer Einstellung des Verfahrens durch die Bundesanwaltschaft ist diese auch für den Entscheid über den Ersatzanspruch des Dritten zuständig und somit "Strafbehörde" im Sinne von Art. 433 Abs. 2 StPO. Die Ansprüche sind verwirkt, wenn der Dritte Gelegenheit hatte, seine Ersatzansprüche anzumelden, und eine Anmeldung nicht erfolgt ist (SCHMID, Handbuch des Schweizerischen Straf- prozessrechts, Zürich/St.Gallen 2009, N 1831 analog).</w:t>
      </w:r>
    </w:p>
    <w:p>
      <w:r>
        <w:rPr>
          <w:b/>
        </w:rPr>
        <w:t>E. 2.2</w:t>
      </w:r>
    </w:p>
    <w:p>
      <w:r>
        <w:t>Wie der Darstellung des Sachverhaltes zu entnehmen ist, setzte die Bun- desanwaltschaft der Beschwerdeführerin mit Schreiben vom 18. Au- gust 2011 eine Frist bis zum 12. September 2011 an, um ihren eventuellen Schaden anzumelden und zu spezifizieren. Die Beschwerdeführerin beauf- tragte darauf gemäss ihren Ausführungen den Verteidiger des ehemaligen Ehemanns bzw. diesen selber mit der Anmeldung der Ansprüche bei der Bundesanwaltschaft. Eine solche Anmeldung erfolgte jedoch innert der von der Bundesanwaltschaft gesetzten Frist nicht, weshalb die Ansprüche der Beschwerdeführerin gemäss Art. 434 Abs. 1 StPO dem Staat gegenüber verwirkt sind. Unter diesen Umständen hätte es der Beschwerdeführerin of- fen gestanden, ihren ehemaligen Ehemann oder einen von diesem eventu- ell beauftragten Vertreter für die Nachteile der entstandenen Säumnis haft- pflichtrechtlich ins Recht zu fassen.</w:t>
      </w:r>
    </w:p>
    <w:p>
      <w:r>
        <w:rPr>
          <w:b/>
        </w:rPr>
        <w:t>E. 2.3</w:t>
      </w:r>
    </w:p>
    <w:p>
      <w:r>
        <w:t>Die Bundesanwaltschaft ist auf die in der Folge verspätet eingereichte Ein- gabe der Beschwerdeführerin trotz eingetretener Verwirkung der Ansprü- che eingetreten und hat diese materiell behandelt. Dabei hat sie in nach- vollziehbarer Art und Weise dargelegt, dass es sich bei den von der Be- schwerdeführerin behaupteten Schäden um solche handelt, welche nicht als eigentliche Standschäden einzustufen sind, sondern als Unterhaltsar- beiten am Fahrzeug, welche auch ohne die Beschlagnahme notwendig geworden wären, bzw. um redundante Arbeiten, welche bereits durch die Bundesanwaltschaft erledigt worden waren (act. 2.8). Nichts anderes ergibt sich aus dem Schreiben B. vom 22. November 2011, in welchem dieser bemerkt, dass man nach über 7 Jahren die Bremsscheiben schleifen müs- se. Es ist also offenbar der Zeitablauf, der das Schleifen erforderlich macht, und nicht die Tatsache, dass das Fahrzeug nicht gebraucht wurde. Ausser-</w:t>
      </w:r>
    </w:p>
    <w:p>
      <w:r>
        <w:t>- 5 -</w:t>
      </w:r>
    </w:p>
    <w:p>
      <w:r>
        <w:t>dem weist die Bundesanwaltschaft mit entsprechenden Unterlagen nach, dass der Wert des Fahrzeuges während der Zeit der Beschlagnahme eher zu- als abgenommen hat, und dieser dadurch eher ein Gewinn als ein Ver- lust entstanden ist (act. 2.6 und 2.7). Zusammenfassend lässt sich festhal- ten, dass die Entschädigungsforderung auch materiell hätte abgewiesen werden müssen, wenn sie nicht bereits aufgrund der Säumnis der Be- schwerdeführerin verwirkt wäre.</w:t>
      </w:r>
    </w:p>
    <w:p>
      <w:r>
        <w:rPr>
          <w:b/>
        </w:rPr>
        <w:t>E. 2.4</w:t>
      </w:r>
    </w:p>
    <w:p>
      <w:r>
        <w:t>Gemäss vorstehenden Ausführungen ist die Beschwerde abzuweisen.</w:t>
      </w:r>
    </w:p>
    <w:p>
      <w:r>
        <w:rPr>
          <w:b/>
        </w:rPr>
        <w:t>E. 3</w:t>
      </w:r>
    </w:p>
    <w:p>
      <w:r>
        <w:t>Die Gerichtsgebühr wird angesichts des Umfanges der Sache festgesetzt auf Fr. 1'500.-- (Art. 73 StBOG und Art. 5 und 8 Abs. 1 des Reglements des Bundesstrafgerichts vom 31. August 2010 über die Kosten, Gebühren und Entschädigungen im Bundesstrafverfahren, BStKR; SR 173.713.162). Beim vorliegenden Verfahrensausgang ist diese Gebühr der unterliegenden Be- schwerdeführerin aufzuerlegen (Art. 428 Abs. 1 StPO). Sie wird mit dem von dieser geleisteten Kostenvorschuss in Höhe von Fr. 1'500.-- verrech- net.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