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BK.2010.10 vom 1. Februar 2011</w:t>
      </w:r>
    </w:p>
    <w:p>
      <w:r>
        <w:t>Bundesstrafgericht, 2011-02-01, FR</w:t>
      </w:r>
    </w:p>
    <w:p>
      <w:r>
        <w:rPr>
          <w:b/>
        </w:rPr>
        <w:t xml:space="preserve">Quelle: </w:t>
      </w:r>
      <w:r>
        <w:t>https://mcp.opencaselaw.ch/entscheid/bstger_BK.2010.10</w:t>
      </w:r>
    </w:p>
    <w:p>
      <w:r>
        <w:t>FR: TPF BK.2010.10 du 1 février 2011</w:t>
      </w:r>
    </w:p>
    <w:p>
      <w:r>
        <w:t>IT: TPF BK.2010.10 del 1 febbraio 2011</w:t>
      </w:r>
    </w:p>
    <w:p>
      <w:pPr>
        <w:pStyle w:val="Heading2"/>
      </w:pPr>
      <w:r>
        <w:t>Regeste</w:t>
      </w:r>
    </w:p>
    <w:p>
      <w:r>
        <w:t>Indemnité en cas de non-lieu (art. 122 PPF). Compétence.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d’indemnité est irrecevable et l’affaire est transmise au Minis- tère public de la Confédération comme objet de sa compétence.</w:t>
      </w:r>
    </w:p>
    <w:p>
      <w:r>
        <w:rPr>
          <w:b/>
        </w:rPr>
        <w:t>E. 2</w:t>
      </w:r>
    </w:p>
    <w:p>
      <w:r>
        <w:t>Il n’est pas perçu de frais judiciaires.</w:t>
      </w:r>
    </w:p>
    <w:p>
      <w:r>
        <w:rPr>
          <w:b/>
        </w:rPr>
        <w:t>E. 3</w:t>
      </w:r>
    </w:p>
    <w:p>
      <w:r>
        <w:t>L’avance de frais dont s’est acquitté le requérant lui est restituée.</w:t>
      </w:r>
    </w:p>
    <w:p>
      <w:r>
        <w:t>Bellinzone, le 2 février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Florian Baumann, avocat - Ministère public de la Confédération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