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BK.2009.6 vom 10. Juni 2009</w:t>
      </w:r>
    </w:p>
    <w:p>
      <w:r>
        <w:t>Bundesstrafgericht, 2009-06-10, DE</w:t>
      </w:r>
    </w:p>
    <w:p>
      <w:r>
        <w:rPr>
          <w:b/>
        </w:rPr>
        <w:t xml:space="preserve">Quelle: </w:t>
      </w:r>
      <w:r>
        <w:t>https://mcp.opencaselaw.ch/entscheid/bstger_BK.2009.6</w:t>
      </w:r>
    </w:p>
    <w:p>
      <w:r>
        <w:t>FR: TPF BK.2009.6 du 10 juin 2009</w:t>
      </w:r>
    </w:p>
    <w:p>
      <w:r>
        <w:t>IT: TPF BK.2009.6 del 10 giugno 2009</w:t>
      </w:r>
    </w:p>
    <w:p>
      <w:pPr>
        <w:pStyle w:val="Heading2"/>
      </w:pPr>
      <w:r>
        <w:t>Regeste</w:t>
      </w:r>
    </w:p>
    <w:p>
      <w:r>
        <w:t>Entschädigung bei Einstellung (Art. 122 BStP)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Juli 2006; zuletzt BK.2008.3 vom 20. Februar 2008) – eingetreten wer- den kann;</w:t>
      </w:r>
    </w:p>
    <w:p>
      <w:r>
        <w:t>- bei diesem Ausgang des Verfahrens die Gesuchstellerin die gerichtlichen Kosten zu tragen hat (Art. 245 Abs. 1 BStP i.V.m. Art. 66 Abs. 1 Satz 1 BGG), wobei die Gerichtsgebühr vorliegend auf Fr. 200.-- festgesetzt wird (Art. 245 Abs. 2 BStP und Art. 3 des Reglements vom 11. Februar 2004 über die Gerichtsgebühren vor dem Bundesstrafgericht; SR 173.711.32);</w:t>
      </w:r>
    </w:p>
    <w:p>
      <w:r>
        <w:t>- 3 -</w:t>
      </w:r>
    </w:p>
    <w:p>
      <w:r>
        <w:t>- der Gesuchstellerin durch das Nichteintreten kein Nachteil erwächst, weil sie ihr Gesuch nach Eintritt der Rechtskraft der Einstellungsverfügung er- neut einreichen kann;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