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BK.2008.3 vom 20. Februar 2008</w:t>
      </w:r>
    </w:p>
    <w:p>
      <w:r>
        <w:t>Bundesstrafgericht, 2008-02-20, DE</w:t>
      </w:r>
    </w:p>
    <w:p>
      <w:r>
        <w:rPr>
          <w:b/>
        </w:rPr>
        <w:t xml:space="preserve">Quelle: </w:t>
      </w:r>
      <w:r>
        <w:t>https://mcp.opencaselaw.ch/entscheid/bstger_BK.2008.3</w:t>
      </w:r>
    </w:p>
    <w:p>
      <w:r>
        <w:t>FR: TPF BK.2008.3 du 20 février 2008</w:t>
      </w:r>
    </w:p>
    <w:p>
      <w:r>
        <w:t>IT: TPF BK.2008.3 del 20 febbraio 2008</w:t>
      </w:r>
    </w:p>
    <w:p>
      <w:pPr>
        <w:pStyle w:val="Heading2"/>
      </w:pPr>
      <w:r>
        <w:t>Regeste</w:t>
      </w:r>
    </w:p>
    <w:p>
      <w:r>
        <w:t>Entschädigung bei Einstellung (Art. 122 BStP)</w:t>
      </w:r>
    </w:p>
    <w:p>
      <w:pPr>
        <w:pStyle w:val="Heading2"/>
      </w:pPr>
      <w:r>
        <w:t>Erwägungen</w:t>
      </w:r>
    </w:p>
    <w:p>
      <w:r>
        <w:rPr>
          <w:b/>
        </w:rPr>
        <w:t>E. 26</w:t>
      </w:r>
    </w:p>
    <w:p>
      <w:r>
        <w:t>Mai 2006 eingereichte Entschädigungsbegehren der I. Beschwerde- kammer des Bundesstrafgerichts zur Entscheidung vorlegte (act. 1);</w:t>
      </w:r>
    </w:p>
    <w:p>
      <w:r>
        <w:t>- der Beschuldigte ein Begehren um Entschädigung für die Untersu- chungshaft und für andere erlittene Nachteile im Sinne von Art. 122 Abs. 1 BStP erst nach rechtskräftiger Einstellung der Untersuchung bzw. des Ermittlungsverfahrens stellen kann (TPF BK.2006.2 vom 10. März 2006 E. 1.2 sowie BK.2006.8 vom 27. Juli 2006);</w:t>
      </w:r>
    </w:p>
    <w:p>
      <w:r>
        <w:t>- der Gesuchsteller sich in seinem Gesuch ausdrücklich auf Art. 122 BStP bezog und somit damit rechnen musste, dass die I. Beschwerdekammer nach rechtskräftiger Einstellung des Ermittlungsverfahrens über dessen Entschädigungsgesuch entscheiden würde (Art. 122 Abs. 3 BStP);</w:t>
      </w:r>
    </w:p>
    <w:p>
      <w:r>
        <w:t>- das Entschädigungsbegehren vom 26. Mai 2006 sich somit als verfrüht erweist, weshalb darauf nicht – auch nicht ausnahmsweise unter dem Blickwinkel von Treu und Glauben, nachdem die diesbezügliche Praxis der I. Beschwerdekammer publiziert worden ist (TPF BK.2006.2 vom 10. März 2006 E. 1.2 sowie BK.2006.8 vom</w:t>
      </w:r>
    </w:p>
    <w:p>
      <w:r>
        <w:rPr>
          <w:b/>
        </w:rPr>
        <w:t>E. 27</w:t>
      </w:r>
    </w:p>
    <w:p>
      <w:r>
        <w:t>Juli 2006; http://www.bstger.ch) – eingetreten werden kann;</w:t>
      </w:r>
    </w:p>
    <w:p>
      <w:r>
        <w:t>- bei diesem Ausgang des Verfahrens der Gesuchsteller die gerichtlichen Kosten zu tragen hat (Art. 245 Abs. 1 BStP i.V.m. Art. 66 Abs. 1 Satz 1 BGG), wobei die Gerichtsgebühr vorliegend auf Fr. 500.-- festgesetzt wird (Art. 245 Abs. 2 BStP und Art. 3 des Reglements vom 11. Februar 2004 über die Gerichtsgebühren vor dem Bundesstrafgericht, SR 173.711.32);</w:t>
      </w:r>
    </w:p>
    <w:p>
      <w:r>
        <w:t>- dem Gesuchsteller durch das Nichteintreten kein Nachteil erwächst, weil er sein Gesuch jederzeit erneut einreichen kann;</w:t>
      </w:r>
    </w:p>
    <w:p>
      <w:r>
        <w:t>- an dieser Stelle zudem festzuhalten ist, dass die Gesuchsgegnerin auf Grund von Art. 122 Abs. 3 BStP verpflichtet ist, zum Entschädigungsge- such einen Antrag zu stellen, und sich nicht auf die blosse Übermittlung der Akten beschränken kann;</w:t>
      </w:r>
    </w:p>
    <w:p>
      <w:r>
        <w:t>- 3 -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