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BK.2006.8 vom 27. Juli 2006</w:t>
      </w:r>
    </w:p>
    <w:p>
      <w:r>
        <w:t>Bundesstrafgericht, 2006-07-27, DE</w:t>
      </w:r>
    </w:p>
    <w:p>
      <w:r>
        <w:rPr>
          <w:b/>
        </w:rPr>
        <w:t xml:space="preserve">Quelle: </w:t>
      </w:r>
      <w:r>
        <w:t>https://mcp.opencaselaw.ch/entscheid/bstger_BK.2006.8</w:t>
      </w:r>
    </w:p>
    <w:p>
      <w:r>
        <w:t>FR: TPF BK.2006.8 du 27 juillet 2006</w:t>
      </w:r>
    </w:p>
    <w:p>
      <w:r>
        <w:t>IT: TPF BK.2006.8 del 27 luglio 2006</w:t>
      </w:r>
    </w:p>
    <w:p>
      <w:pPr>
        <w:pStyle w:val="Heading2"/>
      </w:pPr>
      <w:r>
        <w:t>Regeste</w:t>
      </w:r>
    </w:p>
    <w:p>
      <w:r>
        <w:t>Entschädigungsbegehren (Art. 122 BStP)</w:t>
      </w:r>
    </w:p>
    <w:p>
      <w:pPr>
        <w:pStyle w:val="Heading2"/>
      </w:pPr>
      <w:r>
        <w:t>Erwägungen</w:t>
      </w:r>
    </w:p>
    <w:p>
      <w:r>
        <w:rPr>
          <w:b/>
        </w:rPr>
        <w:t>E. 6</w:t>
      </w:r>
    </w:p>
    <w:p>
      <w:r>
        <w:t>Juli 2006 eingereichte (teilweise) Entschädigungsbegehren unter Beilage der Verfahrensakten der Beschwerdekammer des Bundesstrafgerichts zur Entscheidung vorlegte;</w:t>
      </w:r>
    </w:p>
    <w:p>
      <w:r>
        <w:t>- mit Blick auf den Ausgang des Verfahrens auf das Einholen einer Ver- nehmlassung (Art. 122 Abs. 3 und 4 BStP) in sinngemässer Anwendung von Art. 219 Abs. 1 BStP verzichtet wird;</w:t>
      </w:r>
    </w:p>
    <w:p>
      <w:r>
        <w:t>- sich aus den Verfahrensakten ergibt, dass die Gesuchsgegnerin den Ge- suchsteller bzw. dessen Verteidiger mit Schreiben vom 31. Mai 2006 im Hinblick auf die beabsichtigte Verfahrenseinstellung gestützt auf Art. 122 BStP Frist ansetzte, um „allfällige Begehren um Entschädigung für die Un- tersuchungshaft und für andere Nachteile einzureichen“, worauf dieser in- nert erstreckter Frist Antrag auf Entschädigung von Fr. 4'200.-- für eine ausgestandene Untersuchungshaft von 42 Tagen stellte;</w:t>
      </w:r>
    </w:p>
    <w:p>
      <w:r>
        <w:t>- der Beschuldigte ein Begehren um Entschädigung für die Untersuchungs- haft und für andere erlittene Nachteile im Sinne von Art. 122 Abs. 1 BStP erst nach rechtskräftiger Einstellung der Untersuchung bzw. des Ermitt- lungsverfahrens stellen kann (TPF BK.2006.2 vom 10. März 2006 E. 1.2), weshalb die Vorgehensweise der Gesuchsgegnerin unverständlich er- scheint;</w:t>
      </w:r>
    </w:p>
    <w:p>
      <w:r>
        <w:t>- das Entschädigungsbegehren vom 6. Juli 2006 sich somit als verfrüht er- weist, weshalb darauf nicht – auch nicht ausnahmsweise unter dem Blick- winkel von Treu und Glauben, nachdem die diesbezügliche Praxis der Be- schwerdekammer publiziert worden ist (TPF BK.2006.2 vom 10. März 2006; www.bstger.ch) – eingetreten werden kann;</w:t>
      </w:r>
    </w:p>
    <w:p>
      <w:r>
        <w:t>- angesichts der Tatsache, dass der Gesuchsteller sein Gesuch verfrüht ein- reichte, weil er dazu von der Gesuchsgegnerin aufgefordert wurde, von der Erhebung einer Gerichtsgebühr abzusehen ist;</w:t>
      </w:r>
    </w:p>
    <w:p>
      <w:r>
        <w:t>- 3 -</w:t>
      </w:r>
    </w:p>
    <w:p>
      <w:r>
        <w:t>- dem Gesuchsteller durch das Nichteintreten kein Nachteil erwächst, weil er sein Gesuch jederzeit (vollständig) erneut einreichen kann;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