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BK.2005.20 vom 12. Januar 2006</w:t>
      </w:r>
    </w:p>
    <w:p>
      <w:r>
        <w:t>Bundesstrafgericht, 2006-01-12, DE</w:t>
      </w:r>
    </w:p>
    <w:p>
      <w:r>
        <w:rPr>
          <w:b/>
        </w:rPr>
        <w:t xml:space="preserve">Quelle: </w:t>
      </w:r>
      <w:r>
        <w:t>https://mcp.opencaselaw.ch/entscheid/bstger_BK.2005.20</w:t>
      </w:r>
    </w:p>
    <w:p>
      <w:r>
        <w:t>FR: TPF BK.2005.20 du 12 janvier 2006</w:t>
      </w:r>
    </w:p>
    <w:p>
      <w:r>
        <w:t>IT: TPF BK.2005.20 del 12 gennaio 2006</w:t>
      </w:r>
    </w:p>
    <w:p>
      <w:pPr>
        <w:pStyle w:val="Heading2"/>
      </w:pPr>
      <w:r>
        <w:t>Regeste</w:t>
      </w:r>
    </w:p>
    <w:p>
      <w:r>
        <w:t>Entschädigungsbegehren (Art. 122 BStP)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April 2004 zuständigen Amtsstelle noch von der Bundesanwaltschaft als der seither zuständigen Behörde eine formelle Einstellungsverfügung erlas- sen wurde;</w:t>
      </w:r>
    </w:p>
    <w:p>
      <w:r>
        <w:t>- auf das Gesuch folglich mangels formeller Einstellung nicht eingetreten wer- den kann;</w:t>
      </w:r>
    </w:p>
    <w:p>
      <w:r>
        <w:t>- die Gerichtskosten in der Regel der vor Bundesstrafgericht unterliegenden Partei auferlegt werden, wobei die Gerichtsgebühr vor der Beschwerdekam- mer zwischen Fr. 200.-- und Fr. 10'000.-- liegt (Art. 3 des Reglements vom 11. Februar 2004 über die Gerichtsgebühren vor dem Bundesstrafgericht; SR 173.711.32);</w:t>
      </w:r>
    </w:p>
    <w:p>
      <w:r>
        <w:t>- der anwaltlich vertretene A. trotz der offensichtlich mangelnden Eintretens- voraussetzung ein Entschädigungsgesuch stellte, weshalb er als unterliegen- de Partei die Gerichtsgebühr in der Höhe von Fr. 500.-- zu tragen hat;</w:t>
      </w:r>
    </w:p>
    <w:p>
      <w:r>
        <w:t>- mit diesem Ausgang des Verfahrens A. keine Parteientschädigung ausgerich- tet wird;</w:t>
      </w:r>
    </w:p>
    <w:p>
      <w:r>
        <w:t>- es A. im Übrigen unbenommen ist, nach dem allfälligen Erlass einer Einstel- lungsverfügung durch die Bundesanwaltschaft erneut einen Entschädigungs- anspruch geltend zu machen, wobei die einzelnen Posten allerdings detailliert zu begründen und belegen sind.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