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BH.2022.8 vom 7. Juni 2022</w:t>
      </w:r>
    </w:p>
    <w:p>
      <w:r>
        <w:t>Bundesstrafgericht, 2022-06-07, DE</w:t>
      </w:r>
    </w:p>
    <w:p>
      <w:r>
        <w:rPr>
          <w:b/>
        </w:rPr>
        <w:t xml:space="preserve">Quelle: </w:t>
      </w:r>
      <w:r>
        <w:t>https://mcp.opencaselaw.ch/entscheid/bstger_BH.2022.8</w:t>
      </w:r>
    </w:p>
    <w:p>
      <w:r>
        <w:t>FR: TPF BH.2022.8 du 7 juin 2022</w:t>
      </w:r>
    </w:p>
    <w:p>
      <w:r>
        <w:t>IT: TPF BH.2022.8 del 7 giugno 2022</w:t>
      </w:r>
    </w:p>
    <w:p>
      <w:pPr>
        <w:pStyle w:val="Heading2"/>
      </w:pPr>
      <w:r>
        <w:t>Regeste</w:t>
      </w:r>
    </w:p>
    <w:p>
      <w:r>
        <w:t>Anordnung der Untersuchungshaft (Art. 226 i.V.m. Art. 222 StPO); vorsorgliche Massnahmen (Art. 388 StPO)</w:t>
      </w:r>
    </w:p>
    <w:p>
      <w:pPr>
        <w:pStyle w:val="Heading2"/>
      </w:pPr>
      <w:r>
        <w:t>Erwägungen</w:t>
      </w:r>
    </w:p>
    <w:p>
      <w:r>
        <w:rPr>
          <w:b/>
        </w:rPr>
        <w:t>E. 24</w:t>
      </w:r>
    </w:p>
    <w:p>
      <w:r>
        <w:t>Mai 2022 sich indes nicht anders verstehen lässt, als dass er seine Be- schwerde vom 20. Mai 2022 zurückzieht;</w:t>
      </w:r>
    </w:p>
    <w:p>
      <w:r>
        <w:t>- das Beschwerdeverfahren mit dem Rückzug unmittelbar beendet wird und abzuschreiben ist (vgl. BGE 141 IV 269 E. 2.2.3 S. 271 f.);</w:t>
      </w:r>
    </w:p>
    <w:p>
      <w:r>
        <w:t>- das Gesuch um vorsorgliche Massnahmen unter diesen Umständen als ge- genstandslos abzuschreiben ist;</w:t>
      </w:r>
    </w:p>
    <w:p>
      <w:r>
        <w:t>- die Kosten des Rechtsmittelverfahrens die Parteien nach Massgabe ihres Obsiegens oder Unterliegens tragen; als unterliegend auch die Partei gilt, die das Rechtsmittel zurückzieht (Art. 428 Abs. 1 StPO);</w:t>
      </w:r>
    </w:p>
    <w:p>
      <w:r>
        <w:t>- entsprechend die Gerichtskosten auf die Staatskasse zu nehmen sind (vgl. Art. 423 Abs. 1 StPO);</w:t>
      </w:r>
    </w:p>
    <w:p>
      <w:r>
        <w:t>- der Beschwerdegegner geltend macht, er sei für die ihm durch das Be- schwerdeverfahren entstandenen Anwaltskosten gemäss eingereichter Kos- tennote zu entschädigen, und dabei auf Art. 11 Abs. 2 BStKR verweist;</w:t>
      </w:r>
    </w:p>
    <w:p>
      <w:r>
        <w:t>- der Beschwerdegegner Anspruch auf Entschädigung für seine Aufwendun- gen im vorliegenden Beschwerdeverfahren hat (Art. 436 Abs. 1 i.V.m. Art. 429 Abs. 1 lit. a StPO);</w:t>
      </w:r>
    </w:p>
    <w:p>
      <w:r>
        <w:t>- der Beschwerdegegner sich mit dem Verweis auf Art. 11 Abs. 2 BStKR wohl auf den Standpunkt stellt, dass das Reglement vorliegend nicht anwendbar sei;</w:t>
      </w:r>
    </w:p>
    <w:p>
      <w:r>
        <w:t>- Art. 11 Abs. 2 BStKR jedoch lediglich bestimmt, dass das Reglement nicht anwendbar ist auf das (interne) Verhältnis zwischen der frei gewählten An- wältin oder dem frei gewählten Anwalt und der von ihr oder ihm im Strafver- fahren vertretenen Partei;</w:t>
      </w:r>
    </w:p>
    <w:p>
      <w:r>
        <w:t>- 7 -</w:t>
      </w:r>
    </w:p>
    <w:p>
      <w:r>
        <w:t>- dem Beschwerdegegner insoweit nicht gefolgt werden kann;</w:t>
      </w:r>
    </w:p>
    <w:p>
      <w:r>
        <w:t>- auf die Berechnung der Entschädigung die Bestimmungen über die Entschä- digung der amtlichen Verteidigung anwendbar sind (Art. 10 BStKR);</w:t>
      </w:r>
    </w:p>
    <w:p>
      <w:r>
        <w:t>- die Anwaltskosten das Honorar und die notwendigen Auslagen umfassen (Art. 11 Abs. 1 BStKR);</w:t>
      </w:r>
    </w:p>
    <w:p>
      <w:r>
        <w:t>- das Honorar nach dem notwendigen und ausgewiesenen Zeitaufwand der Anwältin oder des Anwalts für die Verteidigung bemessen wird; der Stunden- ansatz mindestens 200 und höchstens 300 Franken beträgt (Art. 12 Abs. 1 BStKR; vgl. WEHRENBERG/FRANK, Basler Kommentar, 2. Aufl. 2014, Art. 429 StPO N. 16 mit Hinweisen; vgl. auch BGE 142 IV163 E. 3.1);</w:t>
      </w:r>
    </w:p>
    <w:p>
      <w:r>
        <w:t>- der geltend gemachte Zeitaufwand von 4 Stunden angemessen erscheint, der geltend gemachte Stundenansatz von Fr. 350.– jedoch auf die üblichen Fr. 230.– zu reduzieren ist (vgl. hierzu Beschluss des Bundesstrafgerichts BB.2012.8 vom 2. März 2012 E. 4.2);</w:t>
      </w:r>
    </w:p>
    <w:p>
      <w:r>
        <w:t>- das Honorar folglich auf Fr. 920.– festzusetzen ist;</w:t>
      </w:r>
    </w:p>
    <w:p>
      <w:r>
        <w:t>- die geltend gemachten Auslagen von Fr. 30.– (40 Kopien à Fr. 0.50, Porto Fr. 10.–) angemessen erscheinen;</w:t>
      </w:r>
    </w:p>
    <w:p>
      <w:r>
        <w:t>- die Honorare und Auslagen sich exklusive Mehrwertsteuer verstehen (Art. 14 BStKR);</w:t>
      </w:r>
    </w:p>
    <w:p>
      <w:r>
        <w:t>- daher die geltend gemachte MwSt. auf Honorar und Kopien, d.h. Fr. 72.40 (7.70% von Fr. 940.–), ebenfalls zu entschädigen ist;</w:t>
      </w:r>
    </w:p>
    <w:p>
      <w:r>
        <w:t>- die Entschädigung demnach auf total Fr. 1'022.40 festzusetzen ist;</w:t>
      </w:r>
    </w:p>
    <w:p>
      <w:r>
        <w:t>- 8 -</w:t>
      </w:r>
    </w:p>
    <w:p>
      <w:r>
        <w:t>und erkennt: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