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BH.2022.7 vom 17. Mai 2022</w:t>
      </w:r>
    </w:p>
    <w:p>
      <w:r>
        <w:t>Bundesstrafgericht, 2022-05-17, DE</w:t>
      </w:r>
    </w:p>
    <w:p>
      <w:r>
        <w:rPr>
          <w:b/>
        </w:rPr>
        <w:t xml:space="preserve">Quelle: </w:t>
      </w:r>
      <w:r>
        <w:t>https://mcp.opencaselaw.ch/entscheid/bstger_BH.2022.7</w:t>
      </w:r>
    </w:p>
    <w:p>
      <w:r>
        <w:t>FR: TPF BH.2022.7 du 17 mai 2022</w:t>
      </w:r>
    </w:p>
    <w:p>
      <w:r>
        <w:t>IT: TPF BH.2022.7 del 17 maggio 2022</w:t>
      </w:r>
    </w:p>
    <w:p>
      <w:pPr>
        <w:pStyle w:val="Heading2"/>
      </w:pPr>
      <w:r>
        <w:t>Regeste</w:t>
      </w:r>
    </w:p>
    <w:p>
      <w:r>
        <w:t>Sicherheitshaft (Art. 229 ff. StPO)</w:t>
      </w:r>
    </w:p>
    <w:p>
      <w:pPr>
        <w:pStyle w:val="Heading2"/>
      </w:pPr>
      <w:r>
        <w:t>Erwägungen</w:t>
      </w:r>
    </w:p>
    <w:p>
      <w:r>
        <w:rPr>
          <w:b/>
        </w:rPr>
        <w:t>E. 5</w:t>
      </w:r>
    </w:p>
    <w:p>
      <w:r>
        <w:t>f.);</w:t>
      </w:r>
    </w:p>
    <w:p>
      <w:r>
        <w:t>- 4 -</w:t>
      </w:r>
    </w:p>
    <w:p>
      <w:r>
        <w:t>- das kantonale Gericht betreffend Haftprüfung jedoch das kantonale Strafpro- zessrecht anzuwenden hatte, sobald die Verwaltungsstrafsache gemäss Art. 73 Abs. 1 VStrR diesem zur Beurteilung überwiesen wurde (FORSTER, a.a.O., S. 6);</w:t>
      </w:r>
    </w:p>
    <w:p>
      <w:r>
        <w:t>- diese Überlegungen bezüglich der heute in Kraft stehenden Schweizeri- schen Strafprozessordnung vom 5. Oktober 2007 für die Sicherheitshaft zur Anwendbarkeit der Art. 229 ff. StPO führen;</w:t>
      </w:r>
    </w:p>
    <w:p>
      <w:r>
        <w:t>- auch in der neueren Lehre diesbezüglich Übereinstimmung zu herrschen scheint (siehe LEMKUHL/TABAKOVIC, Basler Kommentar, 2020, Art. 53 VStrR N. 6 f.; EICKER/FRANK/ACHERMANN, a.a.O., S. 217);</w:t>
      </w:r>
    </w:p>
    <w:p>
      <w:r>
        <w:t>- die verhaftete Person Entscheide über die Anordnung, die Verlängerung und die Aufhebung der Sicherheitshaft bei der Beschwerdeinstanz (nach Art. 20 Abs. 1 lit. c StPO) anfechten kann (Art. 222 i.V.m. Art. 393 Abs. 1 lit. c StPO), womit die Beschwerdeinstanz des Kantons Zürich für den vorliegenden Fall zuständig ist;</w:t>
      </w:r>
    </w:p>
    <w:p>
      <w:r>
        <w:t>- diese Auffassung teilweise auch in der Lehre vertreten wird (siehe LEM- KUHL/TABAKOVIC, a.a.O., Art. 53 VStrR N. 19 zumindest für den Fall der erst- maligen Anordnung von Sicherheitshaft, bei welcher sich der Beschwerde- weg nach Art. 222 i.V.m. Art. 393 ff. StPO richte);</w:t>
      </w:r>
    </w:p>
    <w:p>
      <w:r>
        <w:t>- LEMKUHL/TABAKOVIC (a.a.O.) demgegenüber für den Fall einer Beschwerde gegen die Umwandlung von Untersuchungshaft in Sicherheitshaft offenbar weiterhin die Beschwerdekammer des Bundesstrafgerichts für zuständig hal- ten, was aber nicht überzeugt, da das VStrR auch für diesen Fall keine ge- setzlichen Bestimmungen enthält und dieselben Autorinnen andernorts auch für diesen Fall zunächst auf das Verfahren nach Art. 229 Abs. 1 i.V.m. Art. 229 Abs. 3 lit. b i.V.m. Art. 227 StPO verweisen (LEMKUHL/TABAKOVIC, a.a.O., Art. 53 VStrR N. 6);</w:t>
      </w:r>
    </w:p>
    <w:p>
      <w:r>
        <w:t>- die Beschwerdekammer nach dem vorstehend Ausgeführten mangels ge- setzlicher Zuständigkeit nicht auf die vorliegende Beschwerde eintreten kann (vgl. zum Ganzen bereits den Beschluss des Bundesstrafgerichts BH.2022.3 vom 16. Februar 2022);</w:t>
      </w:r>
    </w:p>
    <w:p>
      <w:r>
        <w:t>- die Beschwerde gestützt auf Art. 91 Abs. 4 StPO zuständigkeitshalber an die III. Strafkammer des Obergerichts des Kantons Zürich weiterzuleiten ist (§ 49</w:t>
      </w:r>
    </w:p>
    <w:p>
      <w:r>
        <w:t>- 5 -</w:t>
      </w:r>
    </w:p>
    <w:p>
      <w:r>
        <w:t>des Gesetzes über die Gerichts- und Behördenorganisation im Zivil- und Strafprozess des Kantons Zürich vom 10. Mai 2010 [GOG/ZH; LS 211.1]);</w:t>
      </w:r>
    </w:p>
    <w:p>
      <w:r>
        <w:t>- die III. Strafkammer in ihrem Beschluss vom 11. März 2022 die vorstehenden Erwägungen und damit ihre Zuständigkeit in Frage stellte (act. 3, S. 5 ff.), sich gestützt auf deren Ausführungen aber keine anderen Schlussfolgerun- gen aufdrängen;</w:t>
      </w:r>
    </w:p>
    <w:p>
      <w:r>
        <w:t>- die III. Strafkammer insbesondere auch einräumt, dass für die Phase des gerichtlichen Verfahrens im VStrR Bestimmungen zur strafprozessualen Haft und zu den diesbezüglichen Zuständigkeiten fehlen (act. 3, S. 8);</w:t>
      </w:r>
    </w:p>
    <w:p>
      <w:r>
        <w:t>- gemäss Art. 82 VStrR für das (gerichtliche) Verfahren vor den kantonalen Gerichten die entsprechenden Vorschriften der StPO gelten, soweit die Art. 73–81 VStrR nichts anderes bestimmen;</w:t>
      </w:r>
    </w:p>
    <w:p>
      <w:r>
        <w:t>- Art. 59 Abs. 3 VStrR, welcher zudem seinerseits die Sicherheitshaft lediglich im Umkehrschluss erwähnt, an der Beurteilung der Frage nach den im ge- richtlichen Verfahren anwendbaren Bestimmungen nichts zu ändern vermag;</w:t>
      </w:r>
    </w:p>
    <w:p>
      <w:r>
        <w:t>- abgesehen davon dem Wortlaut von Art. 59 Abs. 3 VStrR im Umkehrschluss ebenso entnommen werden kann, dass die darin vorgesehene Zuständigkeit zur Beurteilung von Gesuchen um Haftentlassung nicht mehr gilt, sobald die Akten zur gerichtlichen Beurteilung überwiesen sind;</w:t>
      </w:r>
    </w:p>
    <w:p>
      <w:r>
        <w:t>- die von der III. Strafkammer angeführte Kommentierung (GRAF, a.a.O., Art. 51 VStrR N. 94) zwar auf einen ausdrücklichen Passus wie «im Unter- suchungsstadium» oder dergleichen verzichtet, inhaltlich aber auch nur von Untersuchungshaft spricht (und damit nicht von Sicherheitshaft; vgl. zur Un- terscheidung Art. 220 Abs. 1 und 2 StPO sowie GRAF, a.a.O., Art. 51 VStrR N. 4 f.);</w:t>
      </w:r>
    </w:p>
    <w:p>
      <w:r>
        <w:t>- die von der III. Strafkammer erwähnte einheitliche Zuständigkeit bei der Be- urteilung von Beschwerden auch nicht erreicht wird, wenn man LEMKUHL/TA- BAKOVIC folgt, welche für den Fall einer Beschwerde gegen die Umwandlung von Untersuchungshaft in Sicherheitshaft weiterhin die Beschwerdekammer des Bundesstrafgerichts für zuständig halten, für den Fall der erstmaligen Anordnung von Sicherheitshaft aber auf den Beschwerdeweg nach Art. 222 i.V.m. Art. 393 ff. StPO verweisen (siehe LEMKUHL/TABAKOVIC, a.a.O., Art. 53 VStrR N. 19);</w:t>
      </w:r>
    </w:p>
    <w:p>
      <w:r>
        <w:t>- 6 -</w:t>
      </w:r>
    </w:p>
    <w:p>
      <w:r>
        <w:t>- auch aufgrund dem von der III. Strafkammer angeführten Auszug aus der Botschaft vom 21. April 1971 zum Entwurf eines Bundesgesetzes über das Verwaltungsstrafrecht (BBl 1971 I 993, 1009) keine anderen Schlüsse gezo- gen werden können, da die Stelle anerkanntermassen nicht denselben Kon- text wie vorliegend betrifft und zudem von der ganz allgemeinen Einsetzung der Anklagekammer als Beschwerdeinstanz im Strafverfahren vor der Ver- waltung (und damit nicht im gerichtlichen Verfahren vor kantonalen Strafge- richten; siehe hierzu u.a. BBl 1971 I 993, 1003) spricht;</w:t>
      </w:r>
    </w:p>
    <w:p>
      <w:r>
        <w:t>- für Verfahrenshandlungen, welche keine Zwangsmassnahmen darstellen, das Gesetz schliesslich auch verschiedene Beschwerdewege vorsieht, je nachdem ob die angefochtene Verfahrenshandlung durch die Verwaltungs- strafbehörde (Art. 27 VStrR) oder im Rahmen des gerichtlichen Verfahrens gemäss Art. 73 ff. VStrR durch das erstinstanzliche Gericht vorgenommen wird (Art. 393 Abs. 1 lit. b StPO; vgl. diesbezüglich das Urteil des Bundesge- richts 1B_363/2021 vom 5. April 2022 E. 2.1 und 2.2);</w:t>
      </w:r>
    </w:p>
    <w:p>
      <w:r>
        <w:t>- für diesen Beschluss keine Gerichtsgebühr zu erheben ist;</w:t>
      </w:r>
    </w:p>
    <w:p>
      <w:r>
        <w:t>- 7 -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