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BH.2021.4 vom 4. November 2021</w:t>
      </w:r>
    </w:p>
    <w:p>
      <w:r>
        <w:t>Bundesstrafgericht, 2021-11-04, DE</w:t>
      </w:r>
    </w:p>
    <w:p>
      <w:r>
        <w:rPr>
          <w:b/>
        </w:rPr>
        <w:t xml:space="preserve">Quelle: </w:t>
      </w:r>
      <w:r>
        <w:t>https://mcp.opencaselaw.ch/entscheid/bstger_BH.2021.4</w:t>
      </w:r>
    </w:p>
    <w:p>
      <w:r>
        <w:t>FR: TPF BH.2021.4 du 4 novembre 2021</w:t>
      </w:r>
    </w:p>
    <w:p>
      <w:r>
        <w:t>IT: TPF BH.2021.4 del 4 novembre 2021</w:t>
      </w:r>
    </w:p>
    <w:p>
      <w:pPr>
        <w:pStyle w:val="Heading2"/>
      </w:pPr>
      <w:r>
        <w:t>Regeste</w:t>
      </w:r>
    </w:p>
    <w:p>
      <w:r>
        <w:t>Verhaftung (Art. 52 ff. VStrR)</w:t>
      </w:r>
    </w:p>
    <w:p>
      <w:pPr>
        <w:pStyle w:val="Heading2"/>
      </w:pPr>
      <w:r>
        <w:t>Erwägungen</w:t>
      </w:r>
    </w:p>
    <w:p>
      <w:r>
        <w:rPr>
          <w:b/>
        </w:rPr>
        <w:t>E. 1</w:t>
      </w:r>
    </w:p>
    <w:p>
      <w:r>
        <w:t>Bei Widerhandlungen im Zusammenhang mit Spielbankenspielen im Sinne von Art. 3 lit. g BGS und bei Hinterziehung der Spielbankenabgabe ist das Bundesgesetz vom 22. März 1974 über das Verwaltungsstrafrecht (VStrR; SR 313.0) anwendbar (Art. 134 Abs. 1 BGS). Verfolgende Behörde ist das Sekretariat der ESBK, urteilende Behörde die ESBK (Art. 134 Abs. 2 BGS;</w:t>
      </w:r>
    </w:p>
    <w:p>
      <w:r>
        <w:t>- 4 -</w:t>
      </w:r>
    </w:p>
    <w:p>
      <w:r>
        <w:t>vgl. Art. 57 Abs. 1 SBG betreffend anwendbares Verfahrensrecht und Zu- ständigkeiten vor dem 1. Januar 2019).</w:t>
      </w:r>
    </w:p>
    <w:p>
      <w:r>
        <w:rPr>
          <w:b/>
        </w:rPr>
        <w:t>E. 2.1</w:t>
      </w:r>
    </w:p>
    <w:p>
      <w:r>
        <w:t>Gemäss Art. 53 Abs. 1 VStrR kann der untersuchende Beamte einen Haft- befehl beantragen. Zum Erlass des Haftbefehls zuständig ist vorliegend die Vorinstanz als die nach Art. 53 Abs. 2 lit. b i.V.m. Art. 22 Abs. 1 VStrR, Art. 31 Abs. 2 StPO und § 29 Abs. 1 lit. a des Gesetzes über die Gerichts- und Behördenorganisation im Zivil- und Strafprozess des Kantons Zürich vom 10. Mai 2010 (GOG/ZH; LS 211.1) zuständige kantonale Gerichtsbehörde. Die Behörde, die den Haftbefehl erliess, hat den Beschuldigten, sofern die- ser nicht bereits gestützt auf Art. 51 Abs. 4 VStrR einvernommen wurde, spätestens am ersten Werktag nach der Verhaftung einzuvernehmen, um abzuklären, ob ein Haftgrund weiter bestehe; der untersuchende Beamte ist dazu anzuhören (Art. 55 Abs. 1 VStrR). Wird die Haft aufrechterhalten, so sind dem Beschuldigten die Gründe zu eröffnen. Wird der Beschuldigte frei- gelassen, so gilt Art. 51 Abs. 6 VStrR, der die Situation im Falle einer vorläu- figen Festnahme regelt, sinngemäss (Art. 55 Abs. 2 VStrR).</w:t>
      </w:r>
    </w:p>
    <w:p>
      <w:r>
        <w:rPr>
          <w:b/>
        </w:rPr>
        <w:t>E. 2.2</w:t>
      </w:r>
    </w:p>
    <w:p>
      <w:r>
        <w:t>Gemäss Art. 51 Abs. 6 i.V.m. Art. 55 Abs. 2 VStrR wird die Haft vorläufig aufrechterhalten, wenn der untersuchende Beamte gegen eine Freilassung sogleich die Beschwerde anmeldet. Der Direktor oder Chef der beteiligten Verwaltung hat der Gerichtsbehörde innert 24 Stunden mitzuteilen, ob er die Beschwerde aufrechterhalte. Hält er sie aufrecht, so bleibt die Haft bis zum Entscheid der Beschwerdekammer des Bundesstrafgerichts bestehen; vor- behalten bleibt die gegenteilige Anordnung der Beschwerdekammer oder ih- res Präsidenten.</w:t>
      </w:r>
    </w:p>
    <w:p>
      <w:r>
        <w:rPr>
          <w:b/>
        </w:rPr>
        <w:t>E. 2.3</w:t>
      </w:r>
    </w:p>
    <w:p>
      <w:r>
        <w:t>Gegen Zwangsmassnahmen im Sinne von Art. 45 ff. VStrR und damit zu- sammenhängende Amtshandlungen und Säumnis kann bei der Beschwer- dekammer des Bundesstrafgerichts Beschwerde geführt werden (Art. 26 Abs. 1 VStrR i.V.m. Art. 37 Abs. 2 lit. b StBOG). Der Direktor oder Chef der beteiligten Verwaltung ist befugt, gegen die Freilassung eines vorläufig Fest- genommenen oder Verhafteten durch die kantonale Gerichtsbehörde Be- schwerde zu erheben (Art. 28 Abs. 1 VStrR). Richtet sich die Beschwerde gegen eine kantonale Gerichtsbehörde, so ist sie direkt bei der Beschwerde- kammer einzureichen (Art. 26 Abs. 2 lit. a VStrR). Die Beschwerde ist innert drei Tagen, nachdem die beteiligte Verwaltung von der Freilassung Kenntnis erhalten hat oder ihr diese eröffnet worden ist, bei der zuständigen Behörde schriftlich mit Antrag und kurzer Begründung einzureichen (Art. 28 Abs. 3</w:t>
      </w:r>
    </w:p>
    <w:p>
      <w:r>
        <w:t>- 5 -</w:t>
      </w:r>
    </w:p>
    <w:p>
      <w:r>
        <w:t>VStrR; zur Beschwerdefrist siehe auch den Beschluss des Bundesstrafge- richts BH.2015.11 vom 8. Dezember 2015 E. 1.3 und 1.4). Mit der Be- schwerde kann die Verletzung von Bundesrecht, die unrichtige oder unvoll- ständige Feststellung des rechtserheblichen Sachverhalts oder die Unange- messenheit gerügt werden (Art. 28 Abs. 2 VStrR).</w:t>
      </w:r>
    </w:p>
    <w:p>
      <w:r>
        <w:rPr>
          <w:b/>
        </w:rPr>
        <w:t>E. 2.4</w:t>
      </w:r>
    </w:p>
    <w:p>
      <w:r>
        <w:t>Die angefochtene Haftentlassung erging am Montag, 25. Oktober 2021, am Ende der Anhörung vor der Vorinstanz. Der an der Anhörung anwesende untersuchende Beamte meldete bei der Vorinstanz (um 16.37 Uhr) sogleich an, gegen die Haftentlassung Beschwerde erheben zu wollen (vgl. Verfah- rensakten GH210060-E, Protokoll S. 6). Die Beschwerdeführerin übergab tags darauf ihre Beschwerde der Post zu Handen der Vorinstanz und orien- tierte diese innerhalb der Frist von 24 Stunden gemäss Art. 51 Abs. 6 i.V.m. Art. 55 Abs. 2 VStrR durch Zustellung der Beschwerdeschrift per E-Mail (vgl. hierzu act. 1 S. 2). Die Vorinstanz übermittelte die Beschwerde gemeinsam mit ihrer Stellungnahme und den Verfahrensakten am 27. Oktober 2021 der Beschwerdekammer. Beschwerdeführerin und Vorinstanz folgten damit der in der Literatur für diese Fallkonstellation skizzierten Vorgehensweise (siehe GRAF, Basler Kommentar, 2020, Art. 51 VStrR N. 101 f.). Das ist mit Blick auf das in Haftsachen besonders zu beachtende Beschleunigungsgebot (vgl. Art. 57 Abs. 1 VStrR) zu begrüssen, auch wenn das Gesetz lediglich die Mit- teilung betreffend Aufrechterhaltung der Beschwerde innerhalb von 24 Stun- den an die kantonale Gerichtsbehörde (Art. 51 Abs. 6 VStrR) und die Einrei- chung der Beschwerde innerhalb einer Frist von drei Tagen (direkt) bei der Beschwerdekammer vorsieht (siehe Art. 26 Abs. 2 lit. a und Art. 28 Abs. 3 VStrR). Diesbezüglich ist auch zu beachten, dass selbst eine bei der unzu- ständigen Behörde eingereichte Beschwerde unverzüglich der zuständigen Behörde zu überweisen ist, wobei die rechtzeitige Einreichung der Be- schwerde bei der unzuständigen Behörde die Beschwerdefrist wahrt (Art. 28 Abs. 4 VStrR). Auf die frist- und formgerecht erhobene Beschwerde ist nach dem Gesagten einzutreten.</w:t>
      </w:r>
    </w:p>
    <w:p>
      <w:r>
        <w:rPr>
          <w:b/>
        </w:rPr>
        <w:t>E. 2.5</w:t>
      </w:r>
    </w:p>
    <w:p>
      <w:r>
        <w:t>Diesbezüglich als unbegründet erweist sich die Rüge des Beschwerdegeg- ners, wonach er sich seit dem Montag, 25. Oktober 2021, 19.00 Uhr rechts- widrig in Haft befinde (act. 5 Rz. 3 ff.). Der angefochtene Entscheid erging im Zusammenhang mit einem Verwaltungsstrafverfahren nach den Regeln des VStrR (siehe oben E. 1). Die Bestimmungen der StPO sind insoweit er- gänzend oder sinngemäss anwendbar, als das VStrR dies ausdrücklich fest- legt (siehe z.B. Art. 58 Abs. 3 oder Art. 60 Abs. 2 VStrR). Soweit das VStrR einzelne Fragen nicht abschliessend regelt, sind die Bestimmungen der StPO grundsätzlich analog anwendbar (BGE 139 IV 246 E. 1.2 und 3.2). Im Gegensatz zur StPO befindet sich im VStrR in dessen Art. 51 Abs. 6 für die</w:t>
      </w:r>
    </w:p>
    <w:p>
      <w:r>
        <w:t>- 6 -</w:t>
      </w:r>
    </w:p>
    <w:p>
      <w:r>
        <w:t>vorliegende Fallkonstellation eine ausdrückliche Regelung für die Aufrecht- erhaltung der Haft bis zum Beschwerdeentscheid. Sind die Voraussetzungen dieser Bestimmung erfüllt, so bleibt der Festgenommene bzw. der Inhaftierte bis zum Entscheid der Beschwerdekammer qua Gesetz in Haft (siehe hierzu GRAF, a.a.O., Art. 51 VStrR N. 100; KELLER, Grundrechtskonformität und Tauglichkeit des Verwaltungsstrafrechts als Prozessgesetz, in: Eicker [Hrsg.], Aktuelle Herausforderungen für die Praxis im Verwaltungsstrafver- fahren, 2013, S. 165 ff., 185). Die Regeln der StPO und die diesbezüglich entwickelte Rechtsprechung des Bundesgerichts (namentlich BGE 139 IV 314 E. 2.2.1 S. 316 f.; 138 IV 148 E. 3.2 S. 150 f.; 138 IV 92 E. 3.3 S. 97 f.) sind damit auf den vorliegenden Fall nicht anwendbar. Entsprechend kann der Beschwerdegegner daraus nichts zu seinen Gunsten ableiten.</w:t>
      </w:r>
    </w:p>
    <w:p>
      <w:r>
        <w:rPr>
          <w:b/>
        </w:rPr>
        <w:t>E. 3.1</w:t>
      </w:r>
    </w:p>
    <w:p>
      <w:r>
        <w:t>Gegenstand der vorliegenden Beschwerde bildet die verweigerte Anordnung weiterer Untersuchungshaft bzw. die verfügte Freilassung des Beschwerde- gegners aus der Haft. Umstritten ist diesbezüglich insbesondere die von der Vorinstanz verworfene Annahme von Fluchtgefahr durch die Beschwerde- führerin.</w:t>
      </w:r>
    </w:p>
    <w:p>
      <w:r>
        <w:rPr>
          <w:b/>
        </w:rPr>
        <w:t>E. 3.2</w:t>
      </w:r>
    </w:p>
    <w:p>
      <w:r>
        <w:t>Nach Art. 52 Abs. 1 VStrR ist der Erlass eines Haftbefehls zulässig, wenn der Beschuldigte einer Widerhandlung dringend verdächtigt ist und be- stimmte Umstände den Verdacht begründen, dass er sich der Strafverfol- gung oder dem Strafvollzug entziehen werde (lit. a) oder dass er Spuren der Tat verwischen, Beweisgegenstände beseitigen, Zeugen oder Mitbeschul- digte zu falschen Aussagen verleiten oder auf ähnliche Weise den Zweck der Untersuchung gefährden werde (lit. b). Gemäss Art. 52 Abs. 2 VStrR darf ein Haftbefehl nicht erlassen werden, wenn dies zur Bedeutung der Sache in einem Missverhältnis stehen würde. Art. 57 VStrR regelt die Dauer der Haft. In Haftfällen ist die Untersuchung möglichst zu beschleunigen. Die Haft darf in jedem Fall die voraussichtliche Dauer einer Freiheits- oder Umwand- lungsstrafe nicht übersteigen (Abs. 1).</w:t>
      </w:r>
    </w:p>
    <w:p>
      <w:r>
        <w:t>Als allgemeiner Haftgrund wird im VStrR und in der StPO gleichermassen dringender und nicht nur einfacher Tatverdacht verlangt. Art. 52 VStrR kennt ebenfalls die besonderen Haftgründe von Flucht- und Kollusionsgefahr. In der konkreten Anwendung des allgemeinen und der besonderen Haftgründe ist auf die Rechtsprechung der StPO abzustellen (KELLER, a.a.O., S. 183 f.; siehe auch GRAF, a.a.O., Art. 51 VStrR N. 25 und Art. 52 VStrR N. 7).</w:t>
      </w:r>
    </w:p>
    <w:p>
      <w:r>
        <w:t>- 7 -</w:t>
      </w:r>
    </w:p>
    <w:p>
      <w:r>
        <w:rPr>
          <w:b/>
        </w:rPr>
        <w:t>E. 4.1</w:t>
      </w:r>
    </w:p>
    <w:p>
      <w:r>
        <w:t>Im Gegensatz zum erkennenden Sachrichter hat die Beschwerdekammer bei der Überprüfung des allgemeinen Haftgrundes des dringenden Tatver- dachts keine erschöpfende Abwägung sämtlicher belastender und entlasten- der Beweisergebnisse vorzunehmen. Es ist vielmehr zu prüfen, ob aufgrund der bisherigen Untersuchungsergebnisse genügend konkrete Anhaltspunkte für eine Widerhandlung im Geltungsbereich des Verwaltungsstrafrechts und eine Beteiligung des Inhaftierten an dieser Tat vorliegen, die Strafbehörden somit das Bestehen eines dringenden Tatverdachts mit vertretbaren Grün- den bejahen durften. Im Haftprüfungsverfahren genügt dabei der Nachweis von konkreten Verdachtsmomenten, wonach das untersuchte Verhalten mit erheblicher Wahrscheinlichkeit die fraglichen Tatbestandsmerkmale erfüllen könnte. Das Beschleunigungsgebot in Haftsachen lässt hierbei nur wenig Raum für Beweismassnahmen (vgl. hierzu BGE 143 IV 330 E. 2.1 S. 333; 143 IV 316 E. 3.1; jeweils m.w.H.).</w:t>
      </w:r>
    </w:p>
    <w:p>
      <w:r>
        <w:rPr>
          <w:b/>
        </w:rPr>
        <w:t>E. 4.2</w:t>
      </w:r>
    </w:p>
    <w:p>
      <w:r>
        <w:t>Die Beschwerdeführerin legte bereits in ihrem Haftantrag vom 4. Oktober 2021 dar, dass genügend konkrete Anhaltspunkte vorlägen, wonach der Be- schwerdegegner – ohne die dafür notwendigen Konzessionen oder Bewilli- gungen – an verschiedenen Standorten diverse Spielbanken errichtet, be- trieben oder zumindest dazu Raum geboten habe (vgl. die detaillierte Schil- derung in act. 1.2 S. 3 f. und die bei der Vorinstanz eingereichten Verfahren- sakten). Der entsprechend formulierte Tatverdacht wurde im vorinstanzli- chen Verfahren auch vom Beschwerdegegner selbst nicht in Abrede gestellt (vgl. Verfahrensakten GH210060-E, Nr. 11 S. 3; ebenso act. 5 Rz. 16 ff.). Der diesbezügliche Tatbestand wurde vom zwischenzeitlich aufgehobenen Art. 55 Abs. 1 lit. a SBG mit «Gefängnis (bzw. Freiheitsstrafe; vgl. hierzu Art. 333 Abs. 2 lit. b StGB) bis zu einem Jahr oder mit Busse bis zu 1 Million Franken» bedroht. Im nunmehr geltenden Art. 130 Abs. 1 lit. a BGS beträgt die angedrohte Sanktion «Freiheitsstrafe bis zu drei Jahren oder Geld- strafe».</w:t>
      </w:r>
    </w:p>
    <w:p>
      <w:r>
        <w:rPr>
          <w:b/>
        </w:rPr>
        <w:t>E. 4.3.1</w:t>
      </w:r>
    </w:p>
    <w:p>
      <w:r>
        <w:t>Zwischen den Parteien umstritten ist demgegenüber die Frage, ob das dem Beschwerdegegner zur Last gelegte Verhalten auch die qualifizierten For- men der Tatbegehung nach Art. 55 Abs. 2 SBG (Strafdrohung «Zuchthaus bis zu fünf Jahren oder Gefängnis nicht unter einem Jahr», allenfalls verbun- den mit einer Busse bis zu 2 Millionen Franken «in schweren Fällen») bzw. nach Art. 130 Abs. 2 BGS (Strafdrohung «Freiheitsstrafe bis zu fünf Jahren oder Geldstrafe nicht unter 180 Tagessätzen» bei gewerbs- oder banden- mässiger Tatbegehung) erfüllen könnte (vgl. Verfahrensakten GH210060-E, Protokoll S. 3-5). In Art. 130 Abs. 2 BGS geht es darum, die schweren Fälle</w:t>
      </w:r>
    </w:p>
    <w:p>
      <w:r>
        <w:t>- 8 -</w:t>
      </w:r>
    </w:p>
    <w:p>
      <w:r>
        <w:t>zu definieren, die mit einer härteren Strafe geahndet werden. Der dabei ver- wendete Begriff «gewerbsmässig» entspricht jenem des Strafrechts (Bot- schaft vom 21. Oktober 2015 zum Geldspielgesetz [BBl 2015 8387, 8499]). Diese Passage in den Materialien zum neuen BGS lässt vermuten, dass mit der Wendung «in schweren Fällen» gemäss Art. 55 Abs. 2 SBG ebenfalls bereits die gewerbs- oder bandenmässige Tatbegehung (mit-)gemeint war.</w:t>
      </w:r>
    </w:p>
    <w:p>
      <w:r>
        <w:rPr>
          <w:b/>
        </w:rPr>
        <w:t>E. 4.3.2</w:t>
      </w:r>
    </w:p>
    <w:p>
      <w:r>
        <w:t>Gewerbsmässig handelt der Täter, wenn sich aus der Zeit und den Mitteln, die er für die deliktische Tätigkeit aufwendet, aus der Häufigkeit der Einzel- akte innerhalb eines bestimmten Zeitraums sowie aus den angestrebten und erzielten Einkünften ergibt, dass er die deliktische Tätigkeit nach der Art ei- nes Berufes ausübt. Wesentlich ist ausserdem, dass der Täter sich darauf einrichtet, durch sein deliktisches Handeln relativ regelmässige Einnahmen zu erzielen, die einen namhaften Beitrag an die Kosten seiner Lebensgestal- tung darstellen, und dass er die Tat bereits mehrfach begangen hat (BGE 147 IV 176 E. 2.2.1 S. 178 f.; 129 IV 188 E. 3.1.2 S. 191 m.w.H.).</w:t>
      </w:r>
    </w:p>
    <w:p>
      <w:r>
        <w:rPr>
          <w:b/>
        </w:rPr>
        <w:t>E. 4.3.3</w:t>
      </w:r>
    </w:p>
    <w:p>
      <w:r>
        <w:t>Aufgrund der vorliegenden Akten sind gewisse Anhaltspunkte für die An- nahme der Gewerbsmässigkeit zu erkennen: So konnte im Zeitraum vom</w:t>
      </w:r>
    </w:p>
    <w:p>
      <w:r>
        <w:rPr>
          <w:b/>
        </w:rPr>
        <w:t>E. 5</w:t>
      </w:r>
    </w:p>
    <w:p>
      <w:r>
        <w:t>März 2015 bis 13. August 2020 bei insgesamt neun Kontrollen bzw. Haus- durchsuchungen in verschiedenen, vom Beschwerdegegner gemieteten und/oder betriebenen Lokalen festgestellt werden, dass dort widerrechtlich Spielbankenspiele angeboten wurden. Anlässlich dieser Kontrollen und Hausdurchsuchungen konnte jeweils Bargeld in unterschiedlich hohen Be- trägen sichergestellt werden. Die Beschwerdeführerin führte diesbezüglich vor der Vorinstanz aus, es sei vielleicht nicht viel Bargeld sichergestellt wor- den, aber aus den Analysen der Automaten sehe man, dass «grosse Um- sätze» erzielt worden seien (vgl. Verfahrensakten GH210060-E, Protokoll S. 4). Diesbezüglich sind den vorliegenden Akten jedoch keine weiterführen- den Unterlagen wie Berichte zu den erwähnten Analysen oder konkrete An- gaben zu den erzielten Umsätzen zu entnehmen. Aufgrund der doch weit fortgeschrittenen Untersuchung müsste die Beschwerdegegnerin diesbe- züglich genauere und konkretere Ausführungen machen und diese auch mit entsprechenden Beweismitteln untermauern, damit auch hinsichtlich einer gewerbsmässigen Tatbegehung von einem dringenden Tatverdacht ausge- gangen werden könnte. Von praktischer Relevanz ist diese Frage im vorlie- genden Fall bei der Beurteilung der Fluchtgefahr, für welche die Schwere der drohenden Strafe ein mögliches Indiz darstellt, sowie der Verhältnismässig- keit der Haftdauer, welche nicht länger dauern darf als die zu erwartende Freiheits- oder Umwandlungsstrafe (Art. 57 Abs. 1 VStrR).</w:t>
      </w:r>
    </w:p>
    <w:p>
      <w:r>
        <w:t>- 9 -</w:t>
      </w:r>
    </w:p>
    <w:p>
      <w:r>
        <w:rPr>
          <w:b/>
        </w:rPr>
        <w:t>E. 5.1</w:t>
      </w:r>
    </w:p>
    <w:p>
      <w:r>
        <w:t>Die Annahme von Fluchtgefahr setzt ernsthafte Anhaltspunkte dafür voraus, dass die beschuldigte Person sich durch Flucht dem Strafverfahren oder der zu erwartenden Sanktion entziehen könnte (vgl. auch Art. 221 Abs. 1 lit. a StPO). Im Vordergrund steht dabei eine mögliche Flucht ins Ausland, denk- bar ist jedoch auch ein Untertauchen im Inland. Bei der Bewertung, ob Fluchtgefahr besteht, sind die gesamten konkreten Verhältnisse zu berück- sichtigen. Es müssen Gründe bestehen, die eine Flucht nicht nur als möglich, sondern als wahrscheinlich erscheinen lassen. Die Schwere der drohenden Strafe ist zwar ein Indiz für Fluchtgefahr, genügt jedoch für sich allein nicht, um den Haftgrund zu bejahen. Miteinzubeziehen sind die familiären und so- zialen Bindungen, die berufliche und finanzielle Situation und die Kontakte zum Ausland (vgl. BGE 145 IV 503 E. 2.2; 143 IV 160 E. 4.3 S. 166 f. m.w.H.). Als ein mögliches Fluchtindiz kann insbesondere auch der ernsthaft dro- hende mehrjährige Verlust des Aufenthaltsrechts in Frage kommen (Urteile des Bundesgerichts 1B_312/2021 vom 23. Juni 2021 E. 3.1; 1B_292/2021 vom 17. Juni 2021 E. 3.1; 1B_358/2019 vom 5. August 2019 E. 3.4.3; 1B_514/2018 vom 3. Dezember 2018 E. 4.5).</w:t>
      </w:r>
    </w:p>
    <w:p>
      <w:r>
        <w:rPr>
          <w:b/>
        </w:rPr>
        <w:t>E. 5.2</w:t>
      </w:r>
    </w:p>
    <w:p>
      <w:r>
        <w:t>Hauptindiz für die Annahme der Fluchtgefahr ist die prekäre fremdenpolizei- liche Lage des Beschwerdegegners. Mit durch die Beschwerdeführerin erst im Beschwerdeverfahren vorgelegter Verfügung vom 29. August 2019 hat das Migrationsamt des Kantons Zürich das Gesuch des Beschwerdegegners um Verlängerung der Aufenthaltsbewilligung abgewiesen und dessen Weg- weisung aus der Schweiz angeordnet (act. 1.4). Dieser Entscheid ist mit dem Urteil des Bundesgerichts 2C_882/2020 vom 6. Mai 2021 in Rechtskraft er- wachsen (act. 1.5). In der Folge hat das Migrationsamt dem Beschwerde- gegner die Frist zum Verlassen der Schweiz auf den Zeitpunkt seiner Ent- lassung aus dem Strafvollzug festgesetzt (act. 1.6). Dem erwähnten Urteil des Bundesgerichts kann zudem entnommen werden, dass der Beschwer- degegner bisher zwar rund 40 Jahre in der Schweiz anwesend war, jedoch immer noch sehr gute Kontakte zur Türkei habe. Er sei dort in den letzten Jahren verschiedenen geschäftlichen Tätigkeiten nachgegangen. Zudem habe er seinen eigenen Angaben zufolge ohnehin vorgehabt, in absehbarer Zeit wieder in die Türkei zurückzukehren (was insbesondere der Behauptung des Beschwerdegegners in act. 5 Rz. 38 widerspricht). Er habe dort Ver- wandte und Bekannte (vgl. act. 1.5, E. 3.5.2; siehe auch act. 1.4 S. 9). Auf entsprechende Frage anerkannte der Beschwerdegegner im Rahmen der Haftanhörung, er müsse (aus der Schweiz) raus, wenn die Behörden das sagten (vgl. Verfahrensakten GH210060-E, Nr. 12 S. 3). Ein weiteres Indiz für die Annahme der Fluchtgefahr liegt in der Höhe der drohenden Strafe im Falle einer Verurteilung. Diesbezüglich kann nicht einfach schematisch auf</w:t>
      </w:r>
    </w:p>
    <w:p>
      <w:r>
        <w:t>- 10 -</w:t>
      </w:r>
    </w:p>
    <w:p>
      <w:r>
        <w:t>die maximale Freiheitsstrafe von fünf Jahren für die allenfalls qualifizierte Form der Tatbegehung abgestellt werden, wie dies die Beschwerdeführerin im Rahmen der Haftanhörung zu tun scheint (vgl. Verfahrensakten GH210060-E, Nr. 10 S. 6). Nach dem oben Ausgeführten ist der dringende Tatverdacht einer qualifizierten Tatbegehung gerade nicht hinreichend kon- kret dargetan (siehe E. 4.3.3). Nichtdestotrotz weist der Beschwerdegegner eine einschlägige Vorstrafe auf (vgl. act. 1.2 S. 4 f.). Zudem werden dem Beschwerdegegner von Seiten der Beschwerdeführerin mehrfach wieder- holte Verstösse gegen die Spielbankengesetzgebung vorgeworfen. Damit handelt es sich bei den ihm zur Last gelegten Taten – auch wenn diese die Anforderungen an eine qualifizierte Tatbegehung nicht erfüllen sollten – nicht um eine Bagatellsache, womit für den Fall einer Verurteilung durchaus auch eine unbedingte Freiheitsstrafe in Frage kommen könnte. Angesichts der Gesamtheit dieser Umstände ist vorliegend das Vorliegen einer die Untersu- chungshaft rechtfertigenden Fluchtgefahr zu bejahen. Damit erweist sich die Beschwerde in diesem Punkt als begründet. Ersatzmassnahmen, welche die bestehende Fluchtgefahr erheblich reduzieren könnten, sind insbesondere der prekären aufenthaltsrechtlichen Situation des Beschwerdegegners we- gen keine ersichtlich. Die vom Beschwerdegegner vorgeschlagenen Ersatz- massnahmen (act. 5 Rz. 55 ff.) vermögen die unmittelbar drohende auslän- derrechtliche Wegweisung nicht zu verhindern und erweisen sich damit als untauglich.</w:t>
      </w:r>
    </w:p>
    <w:p>
      <w:r>
        <w:rPr>
          <w:b/>
        </w:rPr>
        <w:t>E. 5.3</w:t>
      </w:r>
    </w:p>
    <w:p>
      <w:r>
        <w:t>Entgegen den Vorbringen des Beschwerdegegners handelt es sich bei den zur Frage der Fluchtgefahr erst im Beschwerdeverfahren beigebrachten Un- terlagen (namentlich act. 1.4, 1.5, 1.6) nicht um unzulässige Noven (act. 5 Rz. 11 ff.). So wurden einerseits die diesbezüglichen Tatsachen schon im vorinstanzlichen Verfahren geltend gemacht, andererseits ist das vorlie- gende Beschwerdeverfahren nicht dazu da, den angefochtenen Entscheid allein auf seine Rechtskonformität zu überprüfen. Die Beschwerdekammer beurteilt Beschwerden dieser Art mit voller Kognition (Art. 28 Abs. 2 VStrR).</w:t>
      </w:r>
    </w:p>
    <w:p>
      <w:r>
        <w:rPr>
          <w:b/>
        </w:rPr>
        <w:t>E. 6.1</w:t>
      </w:r>
    </w:p>
    <w:p>
      <w:r>
        <w:t>Die Beschwerdeführerin beantragt die Aufrechterhaltung der Untersu- chungshaft bis 31. Januar 2022, mithin für eine Dauer von etwas über drei Monaten. Im Rahmen der Haftanhörung führte die Beschwerdeführerin aus, die Untersuchung sei weit fortgeschritten. Sie müssen noch das Schlusspro- tokoll nach Art. 61 VStrR erstellen (Zeitbedarf «einige Monate») und Anklage erheben (Zeitbedarf «ein paar Wochen»). Allenfalls sei mit dem Beschwer- degegner noch eine Schlusseinvernahme vorzunehmen. Zudem warte man</w:t>
      </w:r>
    </w:p>
    <w:p>
      <w:r>
        <w:t>- 11 -</w:t>
      </w:r>
    </w:p>
    <w:p>
      <w:r>
        <w:t>noch auf einige Ermittlungsergebnisse der Polizei (vgl. Verfahrensakten GH210060-E, Protokoll S. 2 f.).</w:t>
      </w:r>
    </w:p>
    <w:p>
      <w:r>
        <w:rPr>
          <w:b/>
        </w:rPr>
        <w:t>E. 6.2</w:t>
      </w:r>
    </w:p>
    <w:p>
      <w:r>
        <w:t>Die Haft darf in jedem Fall die voraussichtliche Dauer einer Freiheits- oder Umwandlungsstrafe nicht übersteigen (Art. 57 Abs. 1 VStrR). Wie bereits er- wähnt (E. 4.3.3), ist aufgrund der vorliegenden Haftakten zurzeit von einem dringenden Tatverdacht (nur) hinsichtlich der nicht qualifizierten Widerhand- lungen gegen Art. 55 Abs. 1 lit. a SBG bzw. Art. 130 Abs. 1 lit. a BGS und damit von den diesbezüglichen Strafrahmen auszugehen. Eine qualifizierte Tatbegehung, welche zu einer höheren voraussichtlichen Dauer einer Frei- heits- oder Umwandlungsstrafe führen könnte, ist demgegenüber im vorlie- genden Haftprüfungsverfahren nicht hinreichend konkret dargetan worden. Ebenso wurden diesbezüglich – trotz des weit fortgeschrittenen Verfahrens- stands – keine Beweise vorgelegt. Wie ebenfalls bereits ausgeführt (E. 5.2) liegen aber Umstände vor, welche im Falle einer Verurteilung für die Ausfäl- lung einer unbedingten Freiheitsstrafe sprechen. Diese Umstände vermögen eine Aufrechterhaltung der Haft bis 31. Januar 2022 gerade noch zu recht- fertigen. Die Beschwerdeführerin ist jedoch gehalten, das vorliegende Ver- waltungsstrafverfahren mit der in Haftsachen erforderlichen besonderen Be- schleunigung zum Abschluss zu bringen.</w:t>
      </w:r>
    </w:p>
    <w:p>
      <w:r>
        <w:rPr>
          <w:b/>
        </w:rPr>
        <w:t>E. 7</w:t>
      </w:r>
    </w:p>
    <w:p>
      <w:r>
        <w:t>Nach dem Gesagten erweist sich die Beschwerde als begründet und sie ist gutzuheissen. Die über den Beschwerdegegner verfügte Haft ist bis 31. Ja- nuar 2022 aufrechtzuerhalten. Unabhängig von dieser Frist hat die Be- schwerdeführerin den Beschwerdegegner freizulassen, sobald kein Haft- grund mehr besteht (Art. 59 Abs. 1 VStrR). Der Beschwerdegegner kann je- derzeit ein Haftentlassungsgesuch einreichen (Art. 59 Abs. 2 VStrR).</w:t>
      </w:r>
    </w:p>
    <w:p>
      <w:r>
        <w:rPr>
          <w:b/>
        </w:rPr>
        <w:t>E. 8</w:t>
      </w:r>
    </w:p>
    <w:p>
      <w:r>
        <w:t>Bei diesem Ausgang des Verfahrens hat der Beschwerdegegner als unter- liegende Partei die Gerichtskosten zu tragen (Art. 25 Abs. 4 VStrR i.V.m. Art. 66 Abs. 1 BGG analog). Die Gerichtsgebühr ist aufgrund der mutmass- lich angespannten finanziellen Lage des Beschwerdegegners auf Fr. 1’000.– festzusetzen (vgl. Art. 73 StBOG und Art. 5 und 8 Abs. 1 des Reglements des Bundesstrafgerichts vom 31. August 2010 über die Kosten, Gebühren und Entschädigungen in Bundesstrafverfahren [BStKR; SR 173.713.162]).</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