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BH.2019.11 vom 30. September 2019</w:t>
      </w:r>
    </w:p>
    <w:p>
      <w:r>
        <w:t>Bundesstrafgericht, 2019-09-30, FR</w:t>
      </w:r>
    </w:p>
    <w:p>
      <w:r>
        <w:rPr>
          <w:b/>
        </w:rPr>
        <w:t xml:space="preserve">Quelle: </w:t>
      </w:r>
      <w:r>
        <w:t>https://mcp.opencaselaw.ch/entscheid/bstger_BH.2019.11</w:t>
      </w:r>
    </w:p>
    <w:p>
      <w:r>
        <w:t>FR: TPF BH.2019.11 du 30 septembre 2019</w:t>
      </w:r>
    </w:p>
    <w:p>
      <w:r>
        <w:t>IT: TPF BH.2019.11 del 30 settembre 2019</w:t>
      </w:r>
    </w:p>
    <w:p>
      <w:pPr>
        <w:pStyle w:val="Heading2"/>
      </w:pPr>
      <w:r>
        <w:t>Regeste</w:t>
      </w:r>
    </w:p>
    <w:p>
      <w:r>
        <w:t>Prolongation de la détention provisoire (art. 227 en lien avec l'art. 222 CPP).</w:t>
      </w:r>
    </w:p>
    <w:p>
      <w:pPr>
        <w:pStyle w:val="Heading2"/>
      </w:pPr>
      <w:r>
        <w:t>Erwägungen</w:t>
      </w:r>
    </w:p>
    <w:p>
      <w:r>
        <w:rPr>
          <w:b/>
        </w:rPr>
        <w:t>E. 1.1</w:t>
      </w:r>
    </w:p>
    <w:p>
      <w:r>
        <w:t>Le détenu peut attaquer devant l’autorité de recours les décisions du Tribu- nal des mesures de contrainte ordonnant une mise en détention provisoire ou une mise en détention pour des motifs de sûreté ou encore la prolongation ou le terme de cette détention (art. 222 et 393 al. 1 let. c CPP). La Cour des plaintes du Tribunal pénal fédéral est compétente pour statuer sur les re- cours contre les décisions des tribunaux des mesures de contrainte canto- naux dans les affaires relevant de la juridiction fédérale (art. 37 al. 1 et 65 al. 1 et 3 de la loi fédérale sur l’organisation des autorités pénales de la Con- fédération [LOAP; RS 173.71]). Le recours est recevable à la condition que le détenu dispose d’un intérêt juridiquement protégé à l’annulation ou à la modification de la décision entreprise (art. 382 al. 1 CPP). Le recours contre les décisions notifiées par écrit ou oralement doit par ailleurs être motivé et adressé par écrit, dans le délai de dix jours à l’autorité de céans (art. 396 al. 1 CPP).</w:t>
      </w:r>
    </w:p>
    <w:p>
      <w:r>
        <w:rPr>
          <w:b/>
        </w:rPr>
        <w:t>E. 1.2</w:t>
      </w:r>
    </w:p>
    <w:p>
      <w:r>
        <w:t>En l’espèce, le recours a été formé en temps utile. L’intérêt juridiquement protégé du détenu à contester une décision ordonnant la prolongation de sa détention provisoire ne fait aucun doute, si bien que ce dernier est légitimé à recourir. Le recours est ainsi recevable en la forme.</w:t>
      </w:r>
    </w:p>
    <w:p>
      <w:r>
        <w:rPr>
          <w:b/>
        </w:rPr>
        <w:t>E. 2</w:t>
      </w:r>
    </w:p>
    <w:p>
      <w:r>
        <w:t>Le recourant souligne qu’avant que les causes ne soient jointes en mains du MPC, ce dernier s’apprêtait à rendre une ordonnance de classement à son encontre, et que malgré l’expertise psychiatrique figurant au dossier, il paraît envisageable qu’il soit remis en liberté (act. 1, p. 3). Il soutient en outre que sa demande d’exécution anticipée de mesure au sens de l’art. 236 CPP du 30 juillet 2019 n’a à ce jour pas été traitée, alors qu’il serait disposé à suivre une telle mesure, si possible de manière ambulatoire. Cette démarche vo- lontaire du recourant se distancierait des conclusions de l’expertise (act. 1, p. 3). Le recourant soutient ensuite que l’événement qui s’est déroulée à la prison demeure isolé et s’est déroulé dans un contexte particulier de stress (act. 1, p. 4). Etant en outre ressortissant suisse, l’on ne saurait considérer l’existence d’un véritable risque de fuite. Enfin et dans tous les cas, sa dé- tention ne serait aujourd’hui plus proportionnée à la situation actuelle, dès lors qu’il paraît hautement peu vraisemblable qu’il soit condamné à une peine privative de liberté de deux ans ferme (act. 1, p. 5). En résumé, le recourant</w:t>
      </w:r>
    </w:p>
    <w:p>
      <w:r>
        <w:t>- 6 -</w:t>
      </w:r>
    </w:p>
    <w:p>
      <w:r>
        <w:t>invoque une violation du principe de la proportionnalité, l’absence de risques de fuite et de passage à l’acte, et l’existence de mesures de substitution à sa détention.</w:t>
      </w:r>
    </w:p>
    <w:p>
      <w:r>
        <w:rPr>
          <w:b/>
        </w:rPr>
        <w:t>E. 2.1</w:t>
      </w:r>
    </w:p>
    <w:p>
      <w:r>
        <w:t>Concernant l’existence de soupçons suffisants, renvoi est fait à la décision rendue dans la présente cause le 13 juin 2019, dès lors que le recourant n’amène pas d’élément nouveau permettant d’estimer qu’il n’a pas commis les infractions qui lui sont reprochées. Le fait que le MPC eût envisagé de rendre une ordonnance de classement a en effet déjà été examiné par la Cour de céans dans la décision précitée, et l’argument a été rejeté comme suit: « ce n’est pas parce que le MPC avait indiqué vouloir rendre une ordon- nance de classement pour les faits s’étant déroulés en 2017, qu’il n’est pas désormais possible qu’une condamnation soit prononcée. En effet, les causes ont été jointes en mains fédérales au vu de leur connexité, de sorte que l’on ne peut désormais extraire uniquement les premiers événements survenus, sans tenir compte de ce qui s’est passé par la suite » (décision BH.2019.8 du 13 juin 2019 consid. 2.4.2). Pareil constat s’impose concer- nant l’affirmation du recourant selon laquelle les soupçons ne sont plus les mêmes, et leur qualification juridique n’est plus la tentative de meurtre (act. 1, p. 4), dans la mesure où elle n’est pas étayée par de nouveaux élé- ments, ou par d’éléments tangibles. Les circonstances dans lesquelles s’est déroulée l’agression de l’agent de B., à savoir, selon le recourant, dans un contexte particulier de stress, n’ont pas à être examinées par la Cour de céans dans le cadre d’une demande de prolongation de la détention provi- soire. Celles-ci seront en effet analysées par le juge du fond, de sorte que la Cour de céans doit uniquement attester de l’existence de soupçons suffi- sants, ce qui est encore le cas aujourd’hui, et force est de constater que la qualification juridique retenue est encore celle de tentative de meurtre.</w:t>
      </w:r>
    </w:p>
    <w:p>
      <w:r>
        <w:rPr>
          <w:b/>
        </w:rPr>
        <w:t>E. 2.2.1</w:t>
      </w:r>
    </w:p>
    <w:p>
      <w:r>
        <w:t>Le recourant soutient que le risque de fuite est inexistant, tout comme le risque de réitération et de passage à l’acte. Les conditions de l’art. 221 al. 1 CPP étant alternatives, il suffit que l’existence du risque de réitération (ou du risque de fuite) soit admise pour que les conditions de l’art. 221 CPP soient réalisées et la prolongation accordée.</w:t>
      </w:r>
    </w:p>
    <w:p>
      <w:r>
        <w:rPr>
          <w:b/>
        </w:rPr>
        <w:t>E. 2.2.2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 sièmement, une réitération doit, sur la base d’un pronostic, être sérieuse- ment à craindre (ATF 143 IV 9 consid. 2.5).</w:t>
      </w:r>
    </w:p>
    <w:p>
      <w:r>
        <w:t>- 7 -</w:t>
      </w:r>
    </w:p>
    <w:p>
      <w:r>
        <w:t>La gravité de l’infraction dépend, outre de la peine menace prévue par la loi, de la nature du bien juridique menacé et du contexte, notamment la dange- 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références citées).</w:t>
      </w:r>
    </w:p>
    <w:p>
      <w:r>
        <w:t>Pour établir le pronostic de récidive, les critères déterminants sont la fré- quence et l’intensité des infractions poursuivies. Cette évaluation doit pren- dre en compte une éventuelle tendance à l’aggravation telle qu’une intensi- fication de l’activité délictuelle, une escalade de la violence ou une augmen- tation de la fréquence des agissements. Les caractéristiques personnelles du prévenu doivent en outre être évaluées (ATF 143 IV 9 consid. 2.8 et les références citées).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JdT 2011 IV 325).</w:t>
      </w:r>
    </w:p>
    <w:p>
      <w:r>
        <w:t>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 lièrement élevées, on peut ainsi admettre un risque de réitération à un niveau inférieur. Il demeure qu’en principe le risque de récidive ne doit être admis qu’avec retenue comme motif de détention. Dès lors, un pronostic défavo- rable est nécessaire (et en principe également suffisant) pour admettre l’exis- tence d’un tel risque (ATF 143 IV 9 consid. 2.9 p. 17).</w:t>
      </w:r>
    </w:p>
    <w:p>
      <w:r>
        <w:rPr>
          <w:b/>
        </w:rPr>
        <w:t>E. 2.2.3</w:t>
      </w:r>
    </w:p>
    <w:p>
      <w:r>
        <w:t>Là également, la Cour de céans a, dans ses deux précédentes décisions, retenu que le risque de réitération et de passage à l’acte était établi. Ainsi, dans sa décision du 21 mars 2019 (BH.2019.4), elle s’est basée sur le rap- port d’expertise établi le 19 juin 2018, selon lequel le recourant présente ma- nifestement un risque de réitération. Elle a de plus souligné qu’il avait des antécédents de violences conjugales, et qu’il est considéré comme poten- tiellement très violent. Ces éléments, conjugués à son caractère imprévi- sible, renforcent ce risque. Son sentiment permanent de persécution n’est en outre pas de nature à diminuer cette appréciation.</w:t>
      </w:r>
    </w:p>
    <w:p>
      <w:r>
        <w:t>- 8 -</w:t>
      </w:r>
    </w:p>
    <w:p>
      <w:r>
        <w:rPr>
          <w:b/>
        </w:rPr>
        <w:t>E. 2.2.4</w:t>
      </w:r>
    </w:p>
    <w:p>
      <w:r>
        <w:t>Dans sa demande de prolongation de la détention provisoire du 14 août 2019, le MPC s’est particulièrement appuyé sur l’expertise psychiatrique du 19 juin 2018 concluant à un risque important de nouvelles infractions pour motiver le risque de réitération (dossier TMC-BE, p. 3). Le recourant quant à lui soutient que la mesure qu’il propose et qu’il a lui-même réclamée au MPC – à savoir d’être mis au bénéfice d’une exécution anticipée de mesure au sens de l’art. 236 CPP – pourrait être de nature à atténuer ce risque (act. 1, p. 4). Il n’y pas lieu de s’écarter de l’expertise précitée, ainsi que des déci- sions de la Cour de céans des 13 juin et 21 mars 2019. Tant l’impulsivité du recourant, ses antécédents judiciaires et son agressivité que son sentiment de persécution sont des éléments parlant en faveur d’un risque de récidive, de sorte que celui-ci doit être retenu. Par ailleurs, la présente procédure con- cerne la prolongation de la détention provisoire, non une éventuelle exécu- tion anticipée des peines et mesures, qui doit d’abord faire l’objet d’une dé- cision du MPC.</w:t>
      </w:r>
    </w:p>
    <w:p>
      <w:r>
        <w:rPr>
          <w:b/>
        </w:rPr>
        <w:t>E. 3</w:t>
      </w:r>
    </w:p>
    <w:p>
      <w:r>
        <w:t>Enfin, concernant la proportionnalité de sa détention préventive, elle reste encore établie. L’on rappelle que le recourant est prévenu de participation et/ou soutient à une organisation criminelle, délit à la loi fédérale interdisant les groupes « Al-Qaïda » et « Etat islamique » et les organisations apparen- tées (RS 122) et tentative de meurtre (art. 111 CP). L’infraction réprimée par l’art. 111 CP est passible d’une peine privative de liberté de cinq ans au moins, l’infraction réprimée par la loi fédérale interdisant les groupes « Al- Qaïda » et « Etat islamique » et les organisations apparentées est passible d’une peine privative de liberté de cinq ans au plus, tout comme l’infraction réprimée par l’art. 260ter CP, réprimant la participation et/ou le soutien à une organisation criminelle. Le recourant s’expose ainsi concrètement à une peine nettement supérieure à la période de détention provisoire qu’il aura subie le 20 octobre 2019. De plus, l’audition finale du prévenu a eu lieu le 16 juillet 2019, ce qui tend à démontrer que l’instruction est à bout touchant, ce que le MPC a par ailleurs confirmé. Ce dernier a de plus requis cette fois- ci une prolongation de deux mois et non de trois, ce qui confirme qu’une mise en accusation est prévue prochainement. Partant, le principe de la propor- tionnalité est respecté (art. 212 al. 3 CPP).</w:t>
      </w:r>
    </w:p>
    <w:p>
      <w:r>
        <w:rPr>
          <w:b/>
        </w:rPr>
        <w:t>E. 4</w:t>
      </w:r>
    </w:p>
    <w:p>
      <w:r>
        <w:t>Il s’ensuit que le recours est mal fondé.</w:t>
      </w:r>
    </w:p>
    <w:p>
      <w:r>
        <w:rPr>
          <w:b/>
        </w:rPr>
        <w:t>E. 5</w:t>
      </w:r>
    </w:p>
    <w:p>
      <w:r>
        <w:t>En tant que partie qui succombe, le recourant se voit mettre à sa charge les frais de la présente procédure, ce en application de l’art. 428 al. 1 CPP, selon lequel les frais de la procédure de recours sont mis à la charge des parties</w:t>
      </w:r>
    </w:p>
    <w:p>
      <w:r>
        <w:t>- 9 -</w:t>
      </w:r>
    </w:p>
    <w:p>
      <w:r>
        <w:t>dans la mesure où elles ont obtenu gain de cause ou succombé. Ceux-ci se limitent en l’espèce à un émolument qui, en application des art. 5 et 8 du règlement du Tribunal pénal fédéral sur les frais, émoluments, dépens et in- demnités de la procédure pénale fédéral (RFPPF; RS 173.713.162), sera fixé à CHF 2'000.--.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