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BH.2019.1 vom 1. Februar 2019</w:t>
      </w:r>
    </w:p>
    <w:p>
      <w:r>
        <w:t>Bundesstrafgericht, 2019-02-01, FR</w:t>
      </w:r>
    </w:p>
    <w:p>
      <w:r>
        <w:rPr>
          <w:b/>
        </w:rPr>
        <w:t xml:space="preserve">Quelle: </w:t>
      </w:r>
      <w:r>
        <w:t>https://mcp.opencaselaw.ch/entscheid/bstger_BH.2019.1</w:t>
      </w:r>
    </w:p>
    <w:p>
      <w:r>
        <w:t>FR: TPF BH.2019.1 du 1 février 2019</w:t>
      </w:r>
    </w:p>
    <w:p>
      <w:r>
        <w:t>IT: TPF BH.2019.1 del 1 febbraio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 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 leurs être motivé et adressé par écrit, dans le délai de dix jours à l’autorité de céans (art. 396 al. 1 CPP).</w:t>
      </w:r>
    </w:p>
    <w:p>
      <w:r>
        <w:rPr>
          <w:b/>
        </w:rPr>
        <w:t>E. 1.2</w:t>
      </w:r>
    </w:p>
    <w:p>
      <w:r>
        <w:t>En l’espèce,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rPr>
          <w:b/>
        </w:rPr>
        <w:t>E. 2</w:t>
      </w:r>
    </w:p>
    <w:p>
      <w:r>
        <w:t>Vu le dispositif de l'acte attaqué et les conclusions du recourant ainsi que l'argumentation développée à l'appui de celles-ci, le litige porte sur la prolongation de la détention provisoire de l'intéressé jusqu'au 1er avril 2019, singulièrement sur la question de savoir si une telle mesure de contrainte est proportionnée au regard de la peine qui sera probablement prononcée en cas de condamnation.</w:t>
      </w:r>
    </w:p>
    <w:p>
      <w:r>
        <w:rPr>
          <w:b/>
        </w:rPr>
        <w:t>E. 3.1</w:t>
      </w:r>
    </w:p>
    <w:p>
      <w:r>
        <w:t>Le recourant se plaint en substance d'une violation de l'art. 212 al. 3 CPP. Il soutient que les faits pour lesquels il est poursuivi ne sauraient justifier une condamnation à une peine privative de liberté de treize mois – soit la durée de la détention provisoire qu'il aura subie si cette dernière se prolonge jusqu'au 1er avril 2019; partant, si la mesure de contrainte litigieuse était maintenue jusqu'à cette date, la durée de la détention provisoire excèderait nécessairement celle de la peine à laquelle il risquerait d'être condamné.</w:t>
      </w:r>
    </w:p>
    <w:p>
      <w:r>
        <w:rPr>
          <w:b/>
        </w:rPr>
        <w:t>E. 3.2</w:t>
      </w:r>
    </w:p>
    <w:p>
      <w:r>
        <w:t>Aux termes de l'art. 212 al. 3 CPP, la détention provisoire et la détention pour</w:t>
      </w:r>
    </w:p>
    <w:p>
      <w:r>
        <w:t>- 4 -</w:t>
      </w:r>
    </w:p>
    <w:p>
      <w:r>
        <w:t>des motifs de sûreté ne doivent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133 I 168 consid. 4.1 p. 170; 132 I 21 consid. 4.1 p. 27; 107 Ia 256 consid. 2 et 3 p. 257 ss et les références).</w:t>
      </w:r>
    </w:p>
    <w:p>
      <w:r>
        <w:t>Le recourant est suspecté d'avoir importé en Suisse au moins 41 faux billets d'euro. Il aurait aussi recruté puis véhiculé quatre personnes jusqu'à Coire afin d'en mettre en circulation une vingtaine, respectivement aurait donné aux intéressés des instructions quant au modus operandi à adopter pour ce faire (achats de marchandise de faible valeur, dans des commerces déterminés; act. 1.1, p. 7 et 9, p. 2; dossier du MPC, act. 06-07-00-0189). A cela s'ajoute que les mises en circulation effectuées aux Grisons auraient été précédées par d'autres, commises par le recourant le 29 juillet 2017 dans un centre commercial à Genève. L'intéressé aurait aussi servi de chauffeur à un de ses co-prévenus, en sachant que celui-ci se déplaçait dans le but de mettre en circulation de la fausse monnaie (dossier du MPC, act. 06-07-00- 0189 et 06-07-00-0190).</w:t>
      </w:r>
    </w:p>
    <w:p>
      <w:r>
        <w:t>Le recourant a donc déployé une activité délictueuse d'une ampleur non négligeable, si bien que sa culpabilité est relativement lourde. Dans ces conditions, et dès lors que la mise en circulation de fausse monnaie (art. 242 CP) est passible d'une peine privative de liberté de trois ans au plus, tout comme l'importation, acquisition et prise en dépôt de fausse monnaie (art. 244 CP), treize mois pourraient à la rigueur être considérés comme proches, mais en aucun cas comme très proches, de la durée de la peine privative de liberté à laquelle il faut s'attendre en cas de condamnation du recourant. Cela vaut d'autant qu'au moment du dépôt de sa réplique, le MPC s'apprêtait à rendre à l'encontre de l'intéressé une ordonnance d'extension, respectivement de jonction, pour escroquerie au sens de l'art. 146 CP – infraction punissable d'une peine privative de liberté de cinq ans au plus, qui entre en concours avec celle de l'art. 242 CP (cf. ATF 133 IV 256, consid. 4.3.3) – et pour des infractions à la LCR (act. 9, p. 1).</w:t>
      </w:r>
    </w:p>
    <w:p>
      <w:r>
        <w:rPr>
          <w:b/>
        </w:rPr>
        <w:t>E. 4</w:t>
      </w:r>
    </w:p>
    <w:p>
      <w:r>
        <w:t>Il suit de ce qui précède que le recours est mal fondé.</w:t>
      </w:r>
    </w:p>
    <w:p>
      <w:r>
        <w:rPr>
          <w:b/>
        </w:rPr>
        <w:t>E. 5</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w:t>
      </w:r>
    </w:p>
    <w:p>
      <w:r>
        <w:t>- 5 -</w:t>
      </w:r>
    </w:p>
    <w:p>
      <w:r>
        <w:t>limitent en l'espèce à un émolument qui, en application des art. 5 et 8 du règlement du Tribunal pénal fédéral sur les frais, émoluments, dépens et in- 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