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BH.2018.4 vom 30. August 2018</w:t>
      </w:r>
    </w:p>
    <w:p>
      <w:r>
        <w:t>Bundesstrafgericht, 2018-08-30, DE</w:t>
      </w:r>
    </w:p>
    <w:p>
      <w:r>
        <w:rPr>
          <w:b/>
        </w:rPr>
        <w:t xml:space="preserve">Quelle: </w:t>
      </w:r>
      <w:r>
        <w:t>https://mcp.opencaselaw.ch/entscheid/bstger_BH.2018.4</w:t>
      </w:r>
    </w:p>
    <w:p>
      <w:r>
        <w:t>FR: TPF BH.2018.4 du 30 août 2018</w:t>
      </w:r>
    </w:p>
    <w:p>
      <w:r>
        <w:t>IT: TPF BH.2018.4 del 30 agosto 2018</w:t>
      </w:r>
    </w:p>
    <w:p>
      <w:pPr>
        <w:pStyle w:val="Heading2"/>
      </w:pPr>
      <w:r>
        <w:t>Regeste</w:t>
      </w:r>
    </w:p>
    <w:p>
      <w:r>
        <w:t>Ersatzmassnahmen (Art. 237 Abs. 4 i.V.m. Art. 222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von Ersatzmassnahmen (Art. 237 Abs. 4 i.V.m. Art. 222 und 393 Abs. 1 lit. c StPO i.V.m. Art. 37 Abs. 1, Art. 65 Abs. 1 und Abs. 3 StBOG; vgl. Beschluss des Bundesstrafgerichts BH.2015.10 vom 27. Januar 2016 E. 1.1). Zur Beschwerde ist berechtigt, wer ein rechtlich geschütztes Inte- resse an der Aufhebung oder Änderung eines Entscheides hat (Art. 382 Abs. 1 i.V.m. Art. 105 Abs. 2 StPO).</w:t>
      </w:r>
    </w:p>
    <w:p>
      <w:r>
        <w:t>Die Eintretensvoraussetzungen geben keinen Anlass zu Bemerkungen. Auf die Beschwerde ist einzutreten.</w:t>
      </w:r>
    </w:p>
    <w:p>
      <w:r>
        <w:rPr>
          <w:b/>
        </w:rPr>
        <w:t>E. 2.1</w:t>
      </w:r>
    </w:p>
    <w:p>
      <w:r>
        <w:t>Nach Art. 221 Abs. 1 StPO sind Untersuchungs- und Sicherheitshaft nur zu- lässig, wenn die beschuldigte Person eines Verbrechens oder Vergehens dringend verdächtig ist und zusätzlich einer der Haftgründe Fluchtgefahr (lit. a), Kollusionsgefahr (lit. b) oder Wiederholungsgefahr (lit. c) vorliegt. Haft ist auch zulässig, wenn ernsthaft zu befürchten ist, eine Person werde ihre Drohung, ein schweres Verbrechen auszuführen, wahrmachen (Art. 221 Abs. 2 StPO). Wie andere Zwangsmassnahmen auch, hat die Haft dem Ver- hältnismässigkeitsprinzip zu genügen (Art. 197 Abs. 1 lit. c und lit. d StPO).</w:t>
      </w:r>
    </w:p>
    <w:p>
      <w:r>
        <w:t>Nach Art. 237 Abs. 1 StPO ordnet das zuständige Gericht an Stelle der Un- tersuchungs- oder der Sicherheitshaft eine oder mehrere mildere Massnah-</w:t>
      </w:r>
    </w:p>
    <w:p>
      <w:r>
        <w:t>- 5 -</w:t>
      </w:r>
    </w:p>
    <w:p>
      <w:r>
        <w:t>men an, wenn sie den gleichen Zweck wie die Haft erfüllen. Die Ersatzmass- nahmen unterliegen grundsätzlich denselben Voraussetzungen wie die Haft (vgl. BGE 141 IV 190 E. 3.3; 140 IV 19 E. 2.1.2; Urteil des Bundesgerichts 1B_436/2015 vom 13. Januar 2016 E. 2.2).</w:t>
      </w:r>
    </w:p>
    <w:p>
      <w:r>
        <w:rPr>
          <w:b/>
        </w:rPr>
        <w:t>E. 2.2</w:t>
      </w:r>
    </w:p>
    <w:p>
      <w:r>
        <w:t>Der Beschwerdeführer bestreitet sowohl das Vorliegen einer Flucht- als auch einer Ausführungsgefahr und macht geltend, die Verlängerung der Ersatz- massnahmen sei unverhältnismässig.</w:t>
      </w:r>
    </w:p>
    <w:p>
      <w:r>
        <w:rPr>
          <w:b/>
        </w:rPr>
        <w:t>E. 3</w:t>
      </w:r>
    </w:p>
    <w:p>
      <w:r>
        <w:t>Die Vorinstanz bejaht das Vorliegen eines dringenden Tatverdachts des Her- stellens, Verbergens, Weiterschaffens von Sprengstoffen und giftigen Gasen im Sinne von Art. 226 Abs. 2 StGB (act. 2 S. 3; KZM 17 991, nicht pagniert, Antrag vom 20. Juli 2017 auf Abweisung des Haftentlassungsgesuchs, S. 2; Entscheid vom 28. Juli 2017, S. 2). Das wird weder vom Beschwerdeführer beanstandet (act. 1 S. 2) noch sind Gründe ersichtlich, das Vorliegen eines dringenden Tatverdachts zu verneinen.</w:t>
      </w:r>
    </w:p>
    <w:p>
      <w:r>
        <w:rPr>
          <w:b/>
        </w:rPr>
        <w:t>E. 4.1</w:t>
      </w:r>
    </w:p>
    <w:p>
      <w:r>
        <w:t>Die Annahme von Fluchtgefahr setzt ernsthafte Anhaltspunkte dafür voraus, dass die beschuldigte Person sich durch Flucht dem Strafverfahren oder der zu erwartenden Sanktion entziehen könnte (Art. 221 Abs. 1 lit. a StPO). Bei der Bewertung, ob Fluchtgefahr besteht, sind die gesamten konkreten Ver- hältnisse zu berücksichtigen. Es müssen Gründe bestehen, die eine Flucht nicht nur als möglich, sondern als wahrscheinlich erscheinen lassen (BGE 143 IV 160 E. 4.3 m.w.H.).</w:t>
      </w:r>
    </w:p>
    <w:p>
      <w:r>
        <w:t>Nach der bundesgerichtlichen Praxis ist bei blossen Ersatzmassnahmen für Haft grundsätzlich ein weniger strenger Massstab an die erforderliche Inten- sität des besonderen Haftgrunds der Fluchtgefahr anzulegen als bei straf- prozessualem Freiheitsentzug (BGE 133 I 27 E. 3.3; Urteil des Bundesge- richts 1B_103/2018 vom 20. März 2018 E. 2.4; je m.w.H.; vgl. TPF 2008 103 E. 2; TPF 2008 109 E. 2.1; Beschluss des Bundesstrafgerichts BH.2015.10 vom 27. Januar 2016 E. 2).</w:t>
      </w:r>
    </w:p>
    <w:p>
      <w:r>
        <w:rPr>
          <w:b/>
        </w:rPr>
        <w:t>E. 4.2</w:t>
      </w:r>
    </w:p>
    <w:p>
      <w:r>
        <w:t>Aufgrund des dringenden Tatverdachts des Herstellens, Verbergens, Wei- terschaffens von Sprengstoffen und giftigen Gasen droht dem Beschwerde- führer eine Freiheitsstrafe bis zu fünf Jahren oder Geldstrafe nicht unter 30 Tagessätzen (vgl. Art. 226 Abs. 2 StGB) sowie (grundsätzlich) eine Lan- desverweisung für 5–15 Jahre (vgl. Art. 66a Abs. 1 lit. i StGB). Aktenkundig</w:t>
      </w:r>
    </w:p>
    <w:p>
      <w:r>
        <w:t>- 6 -</w:t>
      </w:r>
    </w:p>
    <w:p>
      <w:r>
        <w:t>ist sodann eine am 9. Februar 2017 von der Staatsanwaltschaft 2, Emmen- brücke, ausgesprochene, bedingt vollziehbare Geldstrafe von 60 Tagessät- zen zu Fr. 110.– mit einer Probezeit von 2 Jahren (KZM 17 991, nicht pagi- niert, Auszug aus dem Schweizerischen Strafregister vom 1. Juni 2017). So- wohl die ausgestandene Untersuchungshaft (vgl. Art. 51 StGB) als auch die ausgestandenen Ersatzmassnahmen werden auf die Strafe anzurechnen sein (vgl. BGE 140 IV 74 E. 2.4 m.w.H.).</w:t>
      </w:r>
    </w:p>
    <w:p>
      <w:r>
        <w:t>Der Beschwerdeführer ist ledig und hat keine Kinder. Es ist davon auszuge- hen, dass er aufgrund seiner (ehemaligen) Mitgliedschaft bei der B. über ein weitverbreitetes Beziehungsnetz im Ausland, namentlich in Frankreich, Deutschland und Bosnien verfügt (vgl. KZM 17 991, nicht paginiert, 1. dele- gierte polizeiliche Einvernahme des Beschwerdeführers vom 2. Juni 2017, S. 2 f.; 2. delegierte polizeiliche Einvernahme des Beschwerdeführers vom 22. Juni 2017, S. 3 f.; 2. delegierte polizeiliche Einvernahme von C. vom 23. Juni 2017, S. 15). Anlässlich der zweiten delegierten polizeilichen Ein- vernahme vom 22. Juni 2017 gab er ausserdem zu Protokoll, seine Jugend (1997–2006) ausserhalb der Schweiz verbracht zu haben (KZM 17 991, nicht paginiert, a.a.O., S. 2), was in einem gewissen Widerspruch zu seinen Aus- führungen in der Stellungnahme zum Verlängerungsantrag steht, wonach er, mit Jahrgang 1988, seit seinem 16. Lebensjahr, also seit 2004, ununterbro- chen in der Schweiz lebe (KZM 18 1038, nicht paginiert, a.a.O., S. 2).</w:t>
      </w:r>
    </w:p>
    <w:p>
      <w:r>
        <w:t>Mit Entscheid vom 1. März 2018 suspendierte das ZMG BE die angeordne- ten Ersatzmassnahmen vom 2. März 2018 bis am 7. März 2018, um dem Beschwerdeführer zu ermöglichen, an der Beerdigung seines Vaters in Ser- bien teilzunehmen (KZM 18 367, nicht paginiert). Es ist davon auszugehen, dass der Beschwerdeführer in dieser Zeit nach Serbien aus- und wieder in die Schweiz eingereist ist. Gegenteiliges ergibt sich aus den Akten jedenfalls nicht. Auch im angefochtenen Entscheid wird festgehalten, dass der Be- schwerdeführer während der Suspendierung der Ersatzmassnahmen nicht die Flucht ergriffen habe bzw. wieder in die Schweiz zurückgekehrt sei (act. 2 S. 3).</w:t>
      </w:r>
    </w:p>
    <w:p>
      <w:r>
        <w:rPr>
          <w:b/>
        </w:rPr>
        <w:t>E. 4.3</w:t>
      </w:r>
    </w:p>
    <w:p>
      <w:r>
        <w:t>Die Schwere der drohenden Strafe und Beziehungen zum Ausland sprechen zwar für die Annahme von Fluchtgefahr. Allerdings treten diese Umstände völlig in den Hintergrund angesichts der geltend gemachten Lebenssituation – ununterbrochener Aufenthalt in der Schweiz seit rund 14 Jahren, nahe Fa- milienangehörige in der Schweiz, Arbeitsstelle, gebundene Vorsorgegelder, sehr gute Deutschkenntnisse –, vor allem aber angesichts des Umstands, dass der Beschwerdeführer während der Suspendierung der Ersatzmass- nahmen nach Serbien, dessen Staatsangehörigkeit der Beschwerdeführer</w:t>
      </w:r>
    </w:p>
    <w:p>
      <w:r>
        <w:t>- 7 -</w:t>
      </w:r>
    </w:p>
    <w:p>
      <w:r>
        <w:t>besitzt, aus- und wieder in die Schweiz eingereist ist. Die Argumentation der Vorinstanz, dass er lediglich nicht die Flucht ergriffen habe, um nicht Gefahr einer Wiederverhaftung zu laufen, verfängt nicht, da er als serbischer Staats- angehöriger nicht von Serbien an die Schweiz ausgeliefert worden wäre. Gründe, die eine Flucht nicht nur als möglich, sondern als wahrscheinlich erscheinen lassen, sind vor diesem Hintergrund nicht ersichtlich, so dass selbst eine gewisse (niederschwellige) Fluchtneigung nicht mehr angenom- men werden kann.</w:t>
      </w:r>
    </w:p>
    <w:p>
      <w:r>
        <w:rPr>
          <w:b/>
        </w:rPr>
        <w:t>E. 4.4</w:t>
      </w:r>
    </w:p>
    <w:p>
      <w:r>
        <w:t>Die Beschwerde erweist sich in diesem Punkt als begründet.</w:t>
      </w:r>
    </w:p>
    <w:p>
      <w:r>
        <w:rPr>
          <w:b/>
        </w:rPr>
        <w:t>E. 5.1</w:t>
      </w:r>
    </w:p>
    <w:p>
      <w:r>
        <w:t>Die Vorinstanz liess im angefochtenen Entscheid offen, ob die von der Be- schwerdegegnerin angerufene Ausführungsgefahr vorliege.</w:t>
      </w:r>
    </w:p>
    <w:p>
      <w:r>
        <w:rPr>
          <w:b/>
        </w:rPr>
        <w:t>E. 5.2</w:t>
      </w:r>
    </w:p>
    <w:p>
      <w:r>
        <w:t>Ausführungsgefahr im Sinne von Art. 221 Abs. 2 StPO besteht, wenn ernst- haft zu befürchten ist, eine Person werde ihre Drohung, ein schweres Ver- brechen auszuführen, wahrmachen. Die Ausführungsgefahr stellt einen selbstständigen gesetzlichen Haftgrund dar. Er verlangt nicht zwangsläufig noch zusätzlich einen dringenden Tatverdacht eines bereits begangenen (untersuchten) Delikts. Die Haft wegen Ausführungsgefahr als freiheitsent- ziehende Zwangsmassnahme muss verhältnismässig sein (Art. 36 Abs. 3 i.V.m. Art. 10 Abs. 2 BV). Die rein hypothetische Möglichkeit der Verübung von Delikten sowie die Wahrscheinlichkeit, dass nur geringfügige Straftaten verübt werden, reichen nicht aus, um Haft wegen Ausführungsgefahr zu be- gründen. Bei der Annahme, dass eine Person ein schweres Verbrechen be- gehen könnte, ist Zurückhaltung geboten. Erforderlich ist eine sehr ungüns- tige Prognose. Nicht Voraussetzung ist hingegen, dass die verdächtige Per- son bereits konkrete Anstalten getroffen hat, um die befürchtete Tat zu voll- enden. Vielmehr genügt es, wenn die Wahrscheinlichkeit einer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 gen. Je schwerer die angedrohte Straftat ist, desto eher rechtfertigt sich eine Inhaftierung, wenn die vorhandenen Fakten keine genaue Risikoeinschät- zung erlauben (BGE 140 IV 19 E. 2.1.1 m.w.H.).</w:t>
      </w:r>
    </w:p>
    <w:p>
      <w:r>
        <w:rPr>
          <w:b/>
        </w:rPr>
        <w:t>E. 5.3</w:t>
      </w:r>
    </w:p>
    <w:p>
      <w:r>
        <w:t>Vorliegend fällt die Verlängerung der Ersatzmassnahmen gestützt auf Aus- führungsgefahr schon deshalb ausser Betracht, weil nicht ersichtlich ist, dass</w:t>
      </w:r>
    </w:p>
    <w:p>
      <w:r>
        <w:t>- 8 -</w:t>
      </w:r>
    </w:p>
    <w:p>
      <w:r>
        <w:t>Abklärungen zur Gefährlichkeit des Beschwerdeführers bzw. zur Ernsthaf- tigkeit einer allfälligen Drohung erfolgt wären (vgl. FORSTER, Basler Kom- mentar, 2. Aufl. 2014, Art. 221 StPO N. 18), die eine sehr ungünstige Prog- nose zuliessen.</w:t>
      </w:r>
    </w:p>
    <w:p>
      <w:r>
        <w:rPr>
          <w:b/>
        </w:rPr>
        <w:t>E. 6</w:t>
      </w:r>
    </w:p>
    <w:p>
      <w:r>
        <w:t>Andere Haftgründe werden von der Beschwerdegegnerin nicht geltend ge- macht und sind nicht ersichtlich. Sind demnach keine Haftgründe gegeben, ist die Beschwerde gutzuheissen und die Dispositiv-Ziff. 1–3 des angefoch- tenen Entscheids sind aufzuheben. Dem Beschwerdeführer sind folgende, auf ihn lautende Dokumente umgehend zurückzugeben: serbischer Reise- pass Nr. 1, serbische Identitätskarte Nr. 2, Ausländerausweis C Nr. 3. Die am 28. Juli 2017 gegenüber dem Beschwerdeführer angeordnete Melde- pflicht entfällt demgemäss.</w:t>
      </w:r>
    </w:p>
    <w:p>
      <w:r>
        <w:rPr>
          <w:b/>
        </w:rPr>
        <w:t>E. 7.1</w:t>
      </w:r>
    </w:p>
    <w:p>
      <w:r>
        <w:t>Im Übrigen wäre die Beschwerde mutmasslich auch deshalb gutzuheissen gewesen, weil die Verlängerung der Ersatzmassnahmen nicht verhältnis- mässig erschiene bzw. eine Verletzung des Beschleunigungsgebots vorläge.</w:t>
      </w:r>
    </w:p>
    <w:p>
      <w:r>
        <w:rPr>
          <w:b/>
        </w:rPr>
        <w:t>E. 7.2</w:t>
      </w:r>
    </w:p>
    <w:p>
      <w:r>
        <w:t>Der Beschwerdeführer bringt vor, seit der Erstellung des Gutachtens des Fo- rensischen Instituts Zürich über den sichergestellten Sprengstoff vom 28. Juli 2017 sei keine einzige Untersuchungshandlung mehr erfolgt. Ausstehende Untersuchungshandlungen seien keine mehr ersichtlich und seien von der Beschwerdegegnerin auch nicht geltend gemacht worden. Unter diesen Um- ständen die Ersatzmassnahmen aufrechtzuerhalten, sei nicht zulässig (act. 1 S. 6).</w:t>
      </w:r>
    </w:p>
    <w:p>
      <w:r>
        <w:rPr>
          <w:b/>
        </w:rPr>
        <w:t>E. 7.3</w:t>
      </w:r>
    </w:p>
    <w:p>
      <w:r>
        <w:t>Gemäss Art. 31 Abs. 3 BV und Art. 5 Ziff. 3 EMRK hat eine in strafprozessu- aler Haft gehaltene Person Anspruch darauf, innerhalb einer angemessenen Frist richterlich beurteilt oder während des Strafverfahrens aus der Haft ent- lassen zu werden. Die Rüge, das Strafverfahren werde nicht mit der verfas- sungs- und konventionsrechtlich gebotenen Beschleunigung geführt, ist im Haftprüfungsverfahren nur soweit zu beurteilen, als die Verfahrensverzöge- rung geeignet ist, die Rechtmässigkeit der Untersuchungshaft in Frage zu stellen und zu einer Haftentlassung zu führen. Ist die gerügte Verzögerung des Verfahrens weniger gravierend, kann offenbleiben, ob eine Verletzung des Beschleunigungsgebotes vorliegt (vgl. BGE 128 I 149 E. 2.2; Urteil des Bundesgerichts 1B_104/2018 vom 14. März 2018 E. 2.3; je m.w.H.).</w:t>
      </w:r>
    </w:p>
    <w:p>
      <w:r>
        <w:t>- 9 -</w:t>
      </w:r>
    </w:p>
    <w:p>
      <w:r>
        <w:rPr>
          <w:b/>
        </w:rPr>
        <w:t>E. 7.4</w:t>
      </w:r>
    </w:p>
    <w:p>
      <w:r>
        <w:t>Die Beschwerdegegnerin hat sich zum Vorwurf des Beschwerdeführers nicht geäussert. Der geltend gemachte Umstand, dass die Beschwerdegegnerin seit dem 28. Juli 2017 im Strafverfahren gegen den Beschwerdeführer keine einzige Untersuchungshandlung mehr getätigt habe, legt eine Verfahrens- verzögerung durch die Beschwerdegegnerin offen, die mit dem Beschleuni- gungsgebot nicht mehr zu vereinbaren ist, auch wenn vorliegend nicht Haft, sondern Ersatzmassnahmen zur Diskussion stehen. Zudem befremdet, dass die Beschwerdegegnerin in ihrem Antrag vom 17. Juli 2018 auf Verlängerung angeordneter Ersatzmassnahmen mit keinem Wort ausführt, wie sie die Un- tersuchung voranzutreiben gedenkt (vgl. auch HUG/SCHEIDEGGER, in: Do- natsch/Hansjakob/Lieber [Hrsg.], Kommentar zur Schweizerischen Strafpro- zessordnung [StPO], 2. Aufl. 2014, Art. 227 StPO N. 3). Die Verfahrensver- zögerung erscheint gravierend. Ob die Beschwerde allein aus diesem Grund gutzuheissen gewesen wäre, kann vorliegend offen bleiben.</w:t>
      </w:r>
    </w:p>
    <w:p>
      <w:r>
        <w:rPr>
          <w:b/>
        </w:rPr>
        <w:t>E. 8.1</w:t>
      </w:r>
    </w:p>
    <w:p>
      <w:r>
        <w:t>Bei diesem Ausgang des Verfahrens sind keine Gerichtsgebühren zu erhe- ben (vgl. Art. 423 Abs. 1 StPO).</w:t>
      </w:r>
    </w:p>
    <w:p>
      <w:r>
        <w:rPr>
          <w:b/>
        </w:rPr>
        <w:t>E. 8.2</w:t>
      </w:r>
    </w:p>
    <w:p>
      <w:r>
        <w:t>Der Beschwerdeführer hat keine Entschädigung beantragt. Die Strafbehör- den hat den Anspruch der beschuldigten Person jedoch von Amtes wegen zu prüfen (Art. 436 Abs. 1 StPO i.V.m. Art. 429 Abs. 2 StPO). Die Beschwer- degegnerin hat dem Beschwerdeführer eine Entschädigung seiner Aufwen- dungen für die angemessene Ausübung seiner Verfahrensrechte auszurich- ten (Art. 436 Abs. 1 StPO i.V.m. Art. 429 Abs. 1 lit. a StPO). Sie ist für das vorliegende Verfahren auf pauschal Fr. 2'000.– festzusetzen (inkl. Auslagen und MwSt.; Art. 10 i.V.m. Art. 12 Abs. 2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