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BH.2017.8 vom 25. Oktober 2017</w:t>
      </w:r>
    </w:p>
    <w:p>
      <w:r>
        <w:t>Bundesstrafgericht, 2017-10-25, FR</w:t>
      </w:r>
    </w:p>
    <w:p>
      <w:r>
        <w:rPr>
          <w:b/>
        </w:rPr>
        <w:t xml:space="preserve">Quelle: </w:t>
      </w:r>
      <w:r>
        <w:t>https://mcp.opencaselaw.ch/entscheid/bstger_BH.2017.8</w:t>
      </w:r>
    </w:p>
    <w:p>
      <w:r>
        <w:t>FR: TPF BH.2017.8 du 25 octobre 2017</w:t>
      </w:r>
    </w:p>
    <w:p>
      <w:r>
        <w:t>IT: TPF BH.2017.8 del 25 ottobre 2017</w:t>
      </w:r>
    </w:p>
    <w:p>
      <w:pPr>
        <w:pStyle w:val="Heading2"/>
      </w:pPr>
      <w:r>
        <w:t>Regeste</w:t>
      </w:r>
    </w:p>
    <w:p>
      <w:r>
        <w:t>Prolongation de la détention provisoire (art. 227 en lien avec l'art. 222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t>- 4 -</w:t>
      </w:r>
    </w:p>
    <w:p>
      <w:r>
        <w:t>En l’espèce, la décision entreprise a été rendue le 12 septembre 2017 et notifiée au recourant le 13 septembre 2017 (act. 2; 2.1). Le recours déposé le 25 septembre 2017 par le conseil du recourant l’a été en temps utile (art. 90 al. 2 CPP). L’intérêt juridiquement protégé du détenu à entreprendre une décision ordonnant la prolongation de sa détention provisoire ne faisant aucun doute, ce dernier est légitimé à recourir. Le recours est ainsi recevable en la forme.</w:t>
      </w:r>
    </w:p>
    <w:p>
      <w:r>
        <w:rPr>
          <w:b/>
        </w:rPr>
        <w:t>E. 2</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2.1</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Code de procédure pénale suisse, Bâle 2011, no 8 ad art. 221 et les références citées en note de bas de page 4; SCHMID, Handbuch des schweizerischen Strafprozessrechts, 2e éd., Zurich/St-Gall 2013, no 1019 p. 427).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(ATF 116 Ia 143 consid. 3c; arrêts du Tribunal fédéral 1S.3/2004 et 1S.4/2004 du 13 août 2004, consid. 3.1).</w:t>
      </w:r>
    </w:p>
    <w:p>
      <w:r>
        <w:rPr>
          <w:b/>
        </w:rPr>
        <w:t>E. 2.2</w:t>
      </w:r>
    </w:p>
    <w:p>
      <w:r>
        <w:t>Selon l’ordonnance querellée et le dossier du TMC, les faits reprochés à A. remontent à la première guerre civile dans le pays Z., entre 1989 et 1996, qui opposait le mouvement armé B. dont il était commandant au mouvement</w:t>
      </w:r>
    </w:p>
    <w:p>
      <w:r>
        <w:t>- 5 -</w:t>
      </w:r>
    </w:p>
    <w:p>
      <w:r>
        <w:t>C. commandé par D. Il est reproché à A. son rôle dans des meurtres de civils, un viol et des actes visant à réduire la population civile en esclavage et à la terroriser, notamment en recrutant un enfant-soldat. Les faits imputés à A. par le MPC remontent aux années 1993 à 1995 et se seraient produits dans la région de Y. dans le pays Z. (villes de X., W. et V.). Les soupçons initiaux du MPC se fondaient sur trois plaintes pénales, le rapport public du 30 juin 2009 de la Commission Vérité et réconciliation du pays Z. et une dissertation au sujet de ladite guerre civile (dossier TMC KZM 14 1563, demande de mise en détention provisoire, p. 3). Le MPC a poursuivi ensuite ses investigations, notamment par l’audition de témoins. Les conditions de la détention provisoire, en particulier l’état des soupçons envers A., ont été discutées devant le TMC lors de chaque procédure de prolongation de la détention. Dans l’ordonnance querellée, le TMC reprend de manière approfondie la substance de ses ordonnances précédentes et conclut qu’à ce jour, « les divers actes d’instruction effectués […] n’ont pas apporté d’éléments susceptibles de remettre en cause de façon significative les soupçons initiaux au point qu’ils ne seraient plus donnés. Bien que ce soit toujours en premier lieu au juge de fond qu’il revient d’apprécier la valeur probante des déclarations recueillies à ce jour, il n’en demeure pas moins qu’actuellement, les soupçons portés sur A. ne se présentent pas de manière moins grave que le 13 juin 2017 (NB: date de l’ordonnance de prolongation de la détention précédente in dossier TMC KZM 17 744) » (act. 2.1, p. 8).</w:t>
      </w:r>
    </w:p>
    <w:p>
      <w:r>
        <w:rPr>
          <w:b/>
        </w:rPr>
        <w:t>E. 2.3</w:t>
      </w:r>
    </w:p>
    <w:p>
      <w:r>
        <w:t>Pour sa part, A. allègue, sur la base de témoignages recueillis lors de l’enquête, qu’il ne pouvait se trouver dans la région de Y. durant la période où auraient été commis les crimes qui lui sont reprochés par le MPC (act. 1, p. 4) et que la qualité de victime de certaines personnes prétendument tourmentées par A. ne serait pas avérée (act. 1, p. 5). Les soupçons à l’encontre de A. auraient ainsi perdu de leur intensité initiale (act. 1, p. 5).</w:t>
      </w:r>
    </w:p>
    <w:p>
      <w:r>
        <w:rPr>
          <w:b/>
        </w:rPr>
        <w:t>E. 2.4</w:t>
      </w:r>
    </w:p>
    <w:p>
      <w:r>
        <w:t>D’emblée, il convient de relever que, de jurisprudence constante, il n’appartient pas au juge de la détention de procéder à une pesée complète des éléments à charge et à décharge et d’apprécier la crédibilité des personnes qui mettent en cause le prévenu, la valeur probante des différentes déclarations étant laissée à l’appréciation du juge du fond (arrêt du Tribunal fédéral 1B_131/2008 du 9 juin 2008, consid. 3.2 in fine). Il incombe au juge de la détention uniquement de vérifier, sous l’angle de la vraisemblance, que le maintien en détention avant jugement repose sur des indices de culpabilité suffisants (arrêt du Tribunal fédéral 1B_233/2010 du</w:t>
      </w:r>
    </w:p>
    <w:p>
      <w:r>
        <w:rPr>
          <w:b/>
        </w:rPr>
        <w:t>E. 2.5</w:t>
      </w:r>
    </w:p>
    <w:p>
      <w:r>
        <w:t>A l’appui du danger de collusion, dans sa demande de prolongation de la détention provisoire (dossier TMC KZM 17 744), le MPC fait valoir qu’un danger de collusion élevé subsiste à l’égard de témoins résidant à l’étranger (pays Z., pays U., pays ZZ. et pays YY.) et requis surtout par la défense. Le MPC relève également que l’enquête contre A. se base « essentiellement, si ce n’est exclusivement sur des témoignages » et qu’il est essentiel que lesdits témoins, en particulier ceux requis par le prévenu, ne soient pas influencés avant leurs auditions. Le TMC a fait sienne cette argumentation (act. 2.1, consid. 5.2). Dans son recours, A. estime que les moyens de preuve à venir « ne pourront dans tous les cas que venir confirmer les éléments déjà relevés par la défense et confirmés par les témoins entendus à ce stade de la procédure » (act. 1, p. 5).</w:t>
      </w:r>
    </w:p>
    <w:p>
      <w:r>
        <w:t>Le TMC a rappelé à juste titre que le danger est réputé en général plus grand au début de la procédure que vers son terme (ATF 107 138 consid. 4g) et qu’il incombe à l’autorité qui le fait valoir d’indiquer quels actes sont encore à effectuer et en quoi la mise en liberté du prévenu en compromettrait l’exécution (act. 2.1, consid. 5.2; ATF 132 I consid. 3.2; 128 I 149 consid. 2.1). En l’occurrence, il apparaît que des auditions doivent encore être effectuées dont la pertinence n’est pas discutée, puisque demandées</w:t>
      </w:r>
    </w:p>
    <w:p>
      <w:r>
        <w:t>- 7 -</w:t>
      </w:r>
    </w:p>
    <w:p>
      <w:r>
        <w:t>par la défense. Dès lors, il est manifeste que la force probante des auditions à venir doit être préservée au même titre que celles déjà exécutées, d’autant que, comme le relève le MPC et l’atteste le dossier, ce dernier repose essentiellement sur des déclarations. Par conséquent le danger de collusion doit être admis.</w:t>
      </w:r>
    </w:p>
    <w:p>
      <w:r>
        <w:rPr>
          <w:b/>
        </w:rPr>
        <w:t>E. 2.6</w:t>
      </w:r>
    </w:p>
    <w:p>
      <w:r>
        <w:t>Pour fonder le risque de fuite, l’autorité inférieure a considéré depuis le début de la détention de A. que les liens de ce dernier avec la Suisse et sa situation personnelle et professionnelle […] plaident en faveur du risque de fuite. Dans l’ordonnance querellée, qui renvoie aux prononcés précédents, le TMC estime que les risques relevés au début et durant toute la période d’incarcération de A. sont toujours d’actualité (act. 2.1, par. 4.2). A., pour sa part, argue de son innocence pour affirmer qu’il n’a aucune raison de fuir la Suisse alors qu’il est « susceptible de pouvoir enfin obtenir d’une juridiction indépendante que son nom soit lavé des graves accusations portées à son encontre » (act. 1, p. 5).</w:t>
      </w:r>
    </w:p>
    <w:p>
      <w:r>
        <w:t>Lors de son arrestation, A. ne disposait d’aucun titre de séjour en Suisse, son permis C étant arrivé à expiration le 23 septembre 2014. Il avait changé à huit reprises d’adresse en Suisse depuis 1999, n’en disposait pas entre février 2013 et juillet 2014 et séjournait depuis dans une chambre d’hôtel. Il n’avait plus d’activité professionnelle depuis le 5 octobre 2014, se rendait régulièrement dans son pays d’origine et s’apprêtait à y retourner (dossier TMC KZM 14 1563, demande d’une décision ordonnant la détention provisoire, p. 4 et ordonnance du 13 novembre 2014 y relative, consid. 1.4.1). Seuls son fils majeur et un cousin vivaient en Suisse. Face à ces éléments concrets force est de constater que l’argument de A. à l’appui du danger de fuite ne porte pas. Au contraire, le fait que l’enquête semble proche de sa fin et la perspective du procès pour des préventions extrêmement lourdes rend le risque de fuite encore plus manifeste, d’autant qu’il ne dispose d’aucun titre de séjour en Suisse. Si A. conclut dans son recours à la mise en œuvre éventuelle de toutes mesures de substitution jugées éventuellement nécessaire (act. 1, p. 2), il ne suggère qu’une assignation à résidence chez un sieur L. (act. 1, p. 6). Vu ce qui précède, il n’apparaît pas en quoi cette mesure – ni toute autre – pourrait dissuader A. de se soustraire par la fuite à l’action pénale.</w:t>
      </w:r>
    </w:p>
    <w:p>
      <w:r>
        <w:rPr>
          <w:b/>
        </w:rPr>
        <w:t>E. 2.7</w:t>
      </w:r>
    </w:p>
    <w:p>
      <w:r>
        <w:t>Le recourant ne s’exprime pas au sujet de la proportionnalité de la détention provisoire. C’est néanmoins le lieu de rappeler que la peine maximale prévue par l’art. 260b CP en relation avec les art. 260d à j CP est la peine privative de liberté à vie. Au vu des éléments retenus à charge du recourant à ce</w:t>
      </w:r>
    </w:p>
    <w:p>
      <w:r>
        <w:t>- 8 -</w:t>
      </w:r>
    </w:p>
    <w:p>
      <w:r>
        <w:t>stade, la détention provisoire subie à ce jour, non négligeable, n’apparaît pas disproportionnée au regard de la peine encourue.</w:t>
      </w:r>
    </w:p>
    <w:p>
      <w:r>
        <w:t>3. Il résulte de ce qui précède que le recours, mal fondé, doit être rejeté.</w:t>
      </w:r>
    </w:p>
    <w:p>
      <w:r>
        <w:rPr>
          <w:b/>
        </w:rPr>
        <w:t>E. 4</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du règlement du Tribunal pénal fédéral sur les frais, émoluments, dépens et indemnités de la procédure pénale fédérale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