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BH.2015.9 vom 14. September 2015</w:t>
      </w:r>
    </w:p>
    <w:p>
      <w:r>
        <w:t>Bundesstrafgericht, 2015-09-14, DE</w:t>
      </w:r>
    </w:p>
    <w:p>
      <w:r>
        <w:rPr>
          <w:b/>
        </w:rPr>
        <w:t xml:space="preserve">Quelle: </w:t>
      </w:r>
      <w:r>
        <w:t>https://mcp.opencaselaw.ch/entscheid/bstger_BH.2015.9</w:t>
      </w:r>
    </w:p>
    <w:p>
      <w:r>
        <w:t>FR: TPF BH.2015.9 du 14 septembre 2015</w:t>
      </w:r>
    </w:p>
    <w:p>
      <w:r>
        <w:t>IT: TPF BH.2015.9 del 14 settembre 2015</w:t>
      </w:r>
    </w:p>
    <w:p>
      <w:pPr>
        <w:pStyle w:val="Heading2"/>
      </w:pPr>
      <w:r>
        <w:t>Regeste</w:t>
      </w:r>
    </w:p>
    <w:p>
      <w:r>
        <w:t>Anordnung der Sicherheitshaft vor Anklageerhebung (Art. 229 Abs. 1 i.V.m. Art. 222 StPO).</w:t>
      </w:r>
    </w:p>
    <w:p>
      <w:pPr>
        <w:pStyle w:val="Heading2"/>
      </w:pPr>
      <w:r>
        <w:t>Erwägungen</w:t>
      </w:r>
    </w:p>
    <w:p>
      <w:r>
        <w:rPr>
          <w:b/>
        </w:rPr>
        <w:t>E. 1.1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3 StBOG und Art. 19 Abs. 1 des Organisa- tionsreglements vom 31. August 2010 für das Bundesstrafgericht [Organisa- tionsreglement BStGer, BStGerOR; SR 173.173.161]).</w:t>
      </w:r>
    </w:p>
    <w:p>
      <w:r>
        <w:rPr>
          <w:b/>
        </w:rPr>
        <w:t>E. 1.2</w:t>
      </w:r>
    </w:p>
    <w:p>
      <w:r>
        <w:t>Zur Beschwerde berechtigt ist, wer ein rechtlich geschütztes Interesse an der Aufhebung oder Änderung des angefochtenen Entscheides hat (Art. 382 Abs. 1 i.V.m. Art. 105 Abs. 2 StPO; GUIDON, Die Beschwerde gemäss Schweizerischer Strafprozessordnung, Berner Diss., Zürich/St. Gallen 2011, N. 247 ff.; PIQUEREZ/MACALUSO, Procédure pénale suisse, 3. Aufl., Genf/Zü- rich/Basel 2011, N. 1911). Die Untersuchungsbehörde ist befugt, einen für sie ungünstigen Entscheid des Zwangsmassnahmengerichts in Haftsachen bei der Beschwerdeinstanz anzufechten (BGE 139 IV 314 E. 2.2). Sie hat ein aktuelles Rechtsschutzin- teresse auch an der Feststellung, eine Entlassung sei zu Unrecht erfolgt (BGE 137 IV 87 E. 1, 137 IV 22 E. 1).</w:t>
      </w:r>
    </w:p>
    <w:p>
      <w:r>
        <w:rPr>
          <w:b/>
        </w:rPr>
        <w:t>E. 1.3</w:t>
      </w:r>
    </w:p>
    <w:p>
      <w:r>
        <w:t>Die Beschwerde gegen schriftlich oder mündlich eröffnete Entscheide ist in- nert zehn Tagen schriftlich und begründet einzureichen (Art. 396 Abs. 1 StPO).</w:t>
      </w:r>
    </w:p>
    <w:p>
      <w:r>
        <w:rPr>
          <w:b/>
        </w:rPr>
        <w:t>E. 1.4</w:t>
      </w:r>
    </w:p>
    <w:p>
      <w:r>
        <w:t>Die BA ist zur Beschwerde legitimiert. Sie hatte vor dem ZMG die vorsorgli- che Inhaftierung des Beschuldigten bis zum Entscheid der Verfahrensleitung der Beschwerdeinstanz verlangt. Die Beschwerde wurde nach diesem An- trag frist- und formgerecht eingereicht und zwar innerhalb der Dreistunden- frist der bundesgerichtlichen Rechtsprechung (vgl. BGE 138 IV 92 E. 3).</w:t>
      </w:r>
    </w:p>
    <w:p>
      <w:r>
        <w:rPr>
          <w:b/>
        </w:rPr>
        <w:t>E. 1.5</w:t>
      </w:r>
    </w:p>
    <w:p>
      <w:r>
        <w:t>Auf die Beschwerde wäre demnach ursprünglich einzutreten gewesen. Mit der Rückweisung der Anklage vom 24. August 2015 durch die Strafkam- mer wäre die Sicherheitshaft indes unabhängig vom vorliegenden Verfahren dahingefallen. Damit entfiele auch das aktuelle Rechtsschutzinteresse der BA, gegen die Nicht-Anordnung der Sicherheitshaft durch das ZMG Be- schwerde zu führen. Die Folge wäre ein Nichteintretens-Entscheid der Be- schwerdekammer. Da die Beschwerde der BA jedoch ohnehin abzuweisen</w:t>
      </w:r>
    </w:p>
    <w:p>
      <w:r>
        <w:t>- 5 -</w:t>
      </w:r>
    </w:p>
    <w:p>
      <w:r>
        <w:t>ist (vgl. die nachfolgend dargestellten Erwägungen), kann offenbleiben, wie es sich damit genau verhält.</w:t>
      </w:r>
    </w:p>
    <w:p>
      <w:r>
        <w:rPr>
          <w:b/>
        </w:rPr>
        <w:t>E. 2.1</w:t>
      </w:r>
    </w:p>
    <w:p>
      <w:r>
        <w:t>Das ZMG führt in seinem ausführlich begründeten Entscheid aus (act. 4), der Beschuldigte sitze seit rund vier Jahren in Haft und die BA werde eine Strafe nicht unter fünf Jahren beantragen. Die erstandene Haft rücke damit noch nicht in grosse Nähe zur zu erwartenden Strafe. Es sei jedoch wahrschein- lich, dass der Beschuldigte bereits zwei Drittel seiner dereinst festzusetzen- den Strafe erstanden habe (E. 5.1). Hinzu komme, dass das Strafgericht da- von ausgehe, es werde mit dieser Sache bis weit ins Jahr 2016 hinein be- fasst sein. Damit würde eine Sicherheitshaft bis Ende 2015 eine Anwesen- heit des Beschuldigten während der Hauptverhandlung nicht sicherstellen. Weitere Haftverlängerungen rückten die erstandene Haft in grosse zeitliche Nähe zur zu erwartenden Strafe (E. 5.6). Das ZMG bejaht sodann, dass Fluchtgefahr vorliege (E. 4.7).</w:t>
      </w:r>
    </w:p>
    <w:p>
      <w:r>
        <w:rPr>
          <w:b/>
        </w:rPr>
        <w:t>E. 2.2</w:t>
      </w:r>
    </w:p>
    <w:p>
      <w:r>
        <w:t>Die BA befürchtet, die Freilassung des Beschuldigten erschwere oder ver- eitle die Hauptverhandlung. Es müsse damit gerechnet werden, dass sich der Beschuldigte mit allen Mitteln seiner strafrechtlichen Verantwortlichkeit entziehen wolle (act. 1 S. 3–5 lit. A). Es bestehe eine ausgeprägte Fluchtge- fahr (act. 1 S. 5–7 lit. B).</w:t>
      </w:r>
    </w:p>
    <w:p>
      <w:r>
        <w:t>Mittels eines Tat- bzw. Schuldinterlokuts könne das Strafgericht zügig über diejenigen Punkte entscheiden, bei denen die Anwesenheit der Beschuldig- ten entscheidend sei (act. 1 S. 9 lit. D Ziff. 2.3, lit. E Ziff. 2). Die weitere Inhaftierung des Beschuldigten sei verhältnismässig, da die Höchststrafe 7 ½ Jahre betrage, da keine Strafmilderungsgründe erkennbar seien, da dem Beschuldigten aufgrund fehlenden Unrechtsbewusstseins eine ungünstige Prognose gestellt werden müsse und da die Anklage vo- raussichtlich ein Strafmass von nicht unter 5 Jahren beantragen werde. Er- satzmassnahmen wären untauglich (act. 1 S. 7 f. lit. C, S. 9 f. lit. E Ziff. 3).</w:t>
      </w:r>
    </w:p>
    <w:p>
      <w:r>
        <w:rPr>
          <w:b/>
        </w:rPr>
        <w:t>E. 2.3</w:t>
      </w:r>
    </w:p>
    <w:p>
      <w:r>
        <w:t>Der Beschuldigte macht darauf aufmerksam, dass mit einer Rückweisung der Anklage und demzufolge mit Haft bis weit über den 1. Januar 2016 hin- aus zu rechnen sei, "womit spätestens dann zweifelsohne Überhaft einge- treten sein wird" (act. 6 S. 3). Er legt dar, an welchen zahlreichen Mängeln die Anklageschrift leide (act. 6 S. 3–9). Ein Interlokut sei deshalb ungeeignet, da die grosse zeitliche Herausforde- rung in der Tatfrage liege. Ein faires Verfahren bedeute sodann, dass auch</w:t>
      </w:r>
    </w:p>
    <w:p>
      <w:r>
        <w:t>- 6 -</w:t>
      </w:r>
    </w:p>
    <w:p>
      <w:r>
        <w:t>die Verteidigung genügend Zeit haben müsse, eine Anklage zu verarbeiten (act. 6 S. 10 Ziff. 22).</w:t>
      </w:r>
    </w:p>
    <w:p>
      <w:r>
        <w:rPr>
          <w:b/>
        </w:rPr>
        <w:t>E. 2.4</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 133 I 168 E. 4.1, 133 I 270 E. 3.4.2). Der blosse Umstand, dass die Gewährung eines bedingten oder teilbedingten Strafvollzuges durch den Strafrichter nicht ausgeschlossen werden kann, lässt die Untersuchungshaft in der Regel noch nicht als unver- hältnismässig erscheinen (BGE 125 I 60 E. 3d; 124 I 208 E. 6; Urteil des Bundesgerichts 1B_148/2012 vom 2. April 2012, E. 6.1; vgl. zur betreffenden Praxis auch FORSTER, Basler Kommentar StPO, 2. Aufl., Basel 2014, Art. 227 N. 9). Erstandene Auslieferungshaft ist an die zulässige Dauer der strafprozessualen Haft grundsätzlich anzurechnen (BGE 133 I 168 E. 4.1).</w:t>
      </w:r>
    </w:p>
    <w:p>
      <w:r>
        <w:rPr>
          <w:b/>
        </w:rPr>
        <w:t>E. 2.5</w:t>
      </w:r>
    </w:p>
    <w:p>
      <w:r>
        <w:t>Angesichts der bereits erstandenen Untersuchungshaft, der ungewissen Dauer des erstinstanzlichen Verfahrens und der schwer präzise einzuschät- zenden effektiv drohenden Strafe ist es unverhältnismässig, den Beschuldig- ten in Haft zu belassen:</w:t>
      </w:r>
    </w:p>
    <w:p>
      <w:r>
        <w:rPr>
          <w:b/>
        </w:rPr>
        <w:t>E. 2.5.1</w:t>
      </w:r>
    </w:p>
    <w:p>
      <w:r>
        <w:t>Der Beschuldigte ist seit 30. Juni 2011 in Haft. Eine Haftdauer von über vier Jahren ohne Strafurteil entspricht nicht dem Regelfall der erwähnten ver- fassungs- und konventionsrechtlichen Vorgaben (Art. 31 Abs. 3 BV und Art. 5 Ziff. 3 EMRK). Namentlich bei Wirtschaftsdelikten mit einer maximalen Straf- drohung von 7 ½ Jahren ist eine solche Haftdauer mit diesen Vorgaben nur ausnahmsweise vereinbar.</w:t>
      </w:r>
    </w:p>
    <w:p>
      <w:r>
        <w:rPr>
          <w:b/>
        </w:rPr>
        <w:t>E. 2.5.2</w:t>
      </w:r>
    </w:p>
    <w:p>
      <w:r>
        <w:t>Mit einer Verhandlung vor Strafgericht sei im Laufe des Jahres 2016 zu rech- nen. Für den Beschuldigten ist heute wie auch am 1. Januar 2016 – dann nach über 4 ½ Jahren Haft – noch stets kein Haftende konkret absehbar. Es muss davon ausgegangen werden, dass die Sicherheitshaft nicht soweit ver- längert werden kann, dass sie die Anwesenheit des Beschuldigten vor dem Strafgericht garantieren und damit ihre Funktion erfüllen könnte.</w:t>
      </w:r>
    </w:p>
    <w:p>
      <w:r>
        <w:t>- 7 -</w:t>
      </w:r>
    </w:p>
    <w:p>
      <w:r>
        <w:rPr>
          <w:b/>
        </w:rPr>
        <w:t>E. 2.5.3</w:t>
      </w:r>
    </w:p>
    <w:p>
      <w:r>
        <w:t>Die BA beabsichtigt, eine Freiheitsstrafe von zumindest 5 Jahren zu bean- tragen. Die Höchststrafe der angeklagten Tatbestände liegt bei 7 ½ Jahren Freiheitsstrafe. Die Untersuchung betrifft keine übersichtlichen Verhältnisse, die eine präzise Prognose über den Rahmen der drohenden Strafe erlauben würden: Die Spannweite der möglichen Straflängen ist breit. Hinzu kommt, dass die weitere Haftdauer ebenso unabsehbar ist (vgl. obige Erwä- gung 2.5.2). Damit rückt eine erneute Haftverlängerung die gesamte Haft- dauer unweigerlich in eine grosse zeitliche Nähe zur drohenden Strafe. Dies verlangt, den Beschuldigten freizulassen.</w:t>
      </w:r>
    </w:p>
    <w:p>
      <w:r>
        <w:rPr>
          <w:b/>
        </w:rPr>
        <w:t>E. 2.6</w:t>
      </w:r>
    </w:p>
    <w:p>
      <w:r>
        <w:t>Demnach ist keine Sicherheitshaft anzuordnen. Der Beschuldigte ist freizu- lassen.</w:t>
      </w:r>
    </w:p>
    <w:p>
      <w:r>
        <w:rPr>
          <w:b/>
        </w:rPr>
        <w:t>E. 3</w:t>
      </w:r>
    </w:p>
    <w:p>
      <w:r>
        <w:t>Die Verfahrensleitung des Beschwerdeverfahrens wies am 5. August 2015 das Gesuch um vorsorgliche Anordnung von Sicherheitshaft ab und ordnete superprovisorisch die Freilassung des Beschuldigten an. Aus den in vorste- hender Erwägung 2.5 dargelegten Gründen ist die Verfügung vom 5. Au- gust 2015 zu bestätigen. In der Hauptsache ist die Beschwerde, soweit darauf einzutreten ist, abzu- weisen.</w:t>
      </w:r>
    </w:p>
    <w:p>
      <w:r>
        <w:rPr>
          <w:b/>
        </w:rPr>
        <w:t>E. 4</w:t>
      </w:r>
    </w:p>
    <w:p>
      <w:r>
        <w:t>Bei diesem Ausgang des Verfahrens sind keine Gerichtskosten aufzuerle- gen.</w:t>
      </w:r>
    </w:p>
    <w:p>
      <w:r>
        <w:rPr>
          <w:b/>
        </w:rPr>
        <w:t>E. 5</w:t>
      </w:r>
    </w:p>
    <w:p>
      <w:r>
        <w:t>Beantragt ist die amtliche Verteidigung im Beschwerdeverfahren. Da die ge- setzlichen Voraussetzungen (Art. 132 StPO) erfüllt sind, kann dem Gesuch entsprochen werden. Die Entschädigung ist auf insgesamt Fr. 2'000.-- zu bemessen (Art. 21 Abs. 2 BStKR; Art. 12 Abs. 2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