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BH.2015.11 vom 8. Dezember 2015</w:t>
      </w:r>
    </w:p>
    <w:p>
      <w:r>
        <w:t>Bundesstrafgericht, 2015-12-08, DE</w:t>
      </w:r>
    </w:p>
    <w:p>
      <w:r>
        <w:rPr>
          <w:b/>
        </w:rPr>
        <w:t xml:space="preserve">Quelle: </w:t>
      </w:r>
      <w:r>
        <w:t>https://mcp.opencaselaw.ch/entscheid/bstger_BH.2015.11</w:t>
      </w:r>
    </w:p>
    <w:p>
      <w:r>
        <w:t>FR: TPF BH.2015.11 du 8 décembre 2015</w:t>
      </w:r>
    </w:p>
    <w:p>
      <w:r>
        <w:t>IT: TPF BH.2015.11 del 8 dicembre 2015</w:t>
      </w:r>
    </w:p>
    <w:p>
      <w:pPr>
        <w:pStyle w:val="Heading2"/>
      </w:pPr>
      <w:r>
        <w:t>Regeste</w:t>
      </w:r>
    </w:p>
    <w:p>
      <w:r>
        <w:t>Verhaftung (Art. 52 VStrR).</w:t>
      </w:r>
    </w:p>
    <w:p>
      <w:pPr>
        <w:pStyle w:val="Heading2"/>
      </w:pPr>
      <w:r>
        <w:t>Erwägungen</w:t>
      </w:r>
    </w:p>
    <w:p>
      <w:r>
        <w:rPr>
          <w:b/>
        </w:rPr>
        <w:t>E. 1.1</w:t>
      </w:r>
    </w:p>
    <w:p>
      <w:r>
        <w:t>Art. 51 VStrR legt für die vorläufige Festnahme folgendes Verfahren fest: Der Fest- genommene ist unverzüglich einzuvernehmen; dabei ist ihm Gelegenheit zu ge- ben, den bestehenden Verdacht und die Gründe der Festnahme zu entkräften. Muss nach wie vor ein Haftgrund angenommen werden, so ist der Festgenom- mene unverzüglich der zur Ausstellung von Haftbefehlen ermächtigten kantonalen Gerichtsbehörde zuzuführen. Ist die Festnahme in abgelegenem oder unwegsa- mem Gebiet erfolgt oder ist die zuständige kantonale Gerichtsbehörde nicht so- gleich erreichbar, so hat die Zuführung innert 48 Stunden zu erfolgen. Die Ge- richtsbehörde prüft, ob ein Haftgrund bestehe; der untersuchende Beamte und der Festgenommene sind dazu anzuhören. Hierauf verfügt die Gerichtsbehörde die Verhaftung oder die Freilassung, gegebenenfalls gegen Sicherheitsleistung. Der Entscheid kann mit Beschwerde angefochten werden (Art. 26; so Art. 51 Abs. 2–</w:t>
      </w:r>
    </w:p>
    <w:p>
      <w:r>
        <w:rPr>
          <w:b/>
        </w:rPr>
        <w:t>E. 1.2</w:t>
      </w:r>
    </w:p>
    <w:p>
      <w:r>
        <w:t>Gegen Zwangsmassnahmen (Art. 45 ff. VStrR) und damit zusammenhängende Amtshandlungen und Säumnis kann bei der Beschwerdekammer des Bun- desstrafgerichts Beschwerde geführt werden (Art. 26 Abs. 1 VStrR). Die Be- schwerde ist bei der Beschwerdekammer einzureichen, wenn sie gegen eine kan- tonale Gerichtsbehörde gerichtet ist (Art. 26 Abs. 2 lit. a VStrR). Die Beschwerde gegen eine Amtshandlung oder gegen einen Beschwerdeent- scheid ist innert drei Tagen, nachdem der Beschwerdeführer von der Amtshand- lung Kenntnis erhalten hat oder ihm der Beschwerdeentscheid eröffnet worden ist, bei der zuständigen Behörde schriftlich mit Antrag und kurzer Begründung einzu- reichen; befindet sich der Beschwerdeführer in Haft, so genügt die Aushändigung der Beschwerde an die Gefängnisleitung, die zur sofortigen Weiterleitung ver- pflichtet ist (Art. 28 Abs. 3 VStrR).</w:t>
      </w:r>
    </w:p>
    <w:p>
      <w:r>
        <w:rPr>
          <w:b/>
        </w:rPr>
        <w:t>E. 1.3</w:t>
      </w:r>
    </w:p>
    <w:p>
      <w:r>
        <w:t>Die in Art. 26 Abs. 3 VStrR genannte Frist von drei Werktagen zur Weiterleitung beschlägt nicht die Beschwerdefrist selbst, sondern definiert nur die Zeitspanne, innert welcher Beschwerdeeingaben, welche gestützt auf Art. 26 Abs. 2 lit. b VStrR an den Direktor oder Chef der beteiligten Verwaltung zu richten sind, von letzterem an die Beschwerdekammer weiterzuleiten sind. Da Beschwerden gegen eine kan- tonale Gerichtsbehörde, vorliegend das Zwangsmassnahmengericht, gemäss Art. 26 Abs. 2 lit. a VStrR ohnehin direkt bei der Beschwerdekammer einzureichen sind, spielt diese Bestimmung für die Beschwerdefrist und somit im vorliegenden Fall keine Rolle. Für die Beschwerdefrist gilt Art. 28 Abs. 3 VStrR (vgl. Beschlüsse des Bundesstrafgerichts BH.2014.8 vom 25. Juni 2014, E. 1.2; BH.2014.6 vom 17. Juni 2014, E. 1; BH.2014.5 vom 15. Mai 2014, E. 1.2). Das Bundesgericht un- terscheidet ebenfalls klar zwischen den Fristen von Art. 26 Abs. 3 VStrR und</w:t>
      </w:r>
    </w:p>
    <w:p>
      <w:r>
        <w:t>- 4 -</w:t>
      </w:r>
    </w:p>
    <w:p>
      <w:r>
        <w:t>Art. 28 Abs. 3 VStrR (Urteil 1B_63/2009 vom 1. September 2009, E. 2.1/2.3). Be- misst sich die Beschwerdefrist demnach nach Art. 28 Abs. 3 VStrR, so beträgt sie nicht drei Werktage, sondern drei Tage.</w:t>
      </w:r>
    </w:p>
    <w:p>
      <w:r>
        <w:rPr>
          <w:b/>
        </w:rPr>
        <w:t>E. 1.4</w:t>
      </w:r>
    </w:p>
    <w:p>
      <w:r>
        <w:t>Die Beschwerdefrist ist Teil des Beschwerdeverfahrens (Beschluss des Bun- desstrafgerichts BV.2013.11 vom 15. Oktober 2013, E. 2.4 [in TPF 2013 173 nicht publizierte Erwägung]). Der Fristenlauf im gerichtlichen Verfahren berechnet sich nach der StPO (Art. 31 Abs. 2 VStrR; TPF 2008 167). Gemäss Art. 90 StPO beginnen Fristen, die durch eine Mitteilung oder den Eintritt eines Ereignisses ausgelöst werden, am folgenden Tag zu laufen (Art. 90 Abs. 1 StPO). Fällt der letzte Tag der Frist auf einen Samstag, einen Sonntag oder einen vom Bundesrecht oder vom kantonalen Recht anerkannten Feiertag, so en- det sie am nächstfolgenden Werktag. Massgebend ist das Recht des Kantons, in dem die Partei oder ihr Rechtsbeistand den Wohnsitz oder den Sitz hat (Art. 90 Abs. 2 StPO). Art. 90 Abs. 2 StPO ist nur auf Fälle anzuwenden, wenn der letzte Tag einer Frist auf einen Samstag, Sonntag oder Feiertag fällt. Der Beginn der Frist und der Fris- tenlauf werden dadurch nicht tangiert (RIEDO, Schweizerische Strafprozessord- nung, 2. Aufl., Basel 2014, Art. 90 N. 35).</w:t>
      </w:r>
    </w:p>
    <w:p>
      <w:r>
        <w:rPr>
          <w:b/>
        </w:rPr>
        <w:t>E. 1.5</w:t>
      </w:r>
    </w:p>
    <w:p>
      <w:r>
        <w:t>Der angefochtene Freilassungsentscheid wurde der Zollverwaltung am Freitag, 4. Dezember 2015, eröffnet. Die Beschwerdefrist begann demnach am Samstag,</w:t>
      </w:r>
    </w:p>
    <w:p>
      <w:r>
        <w:rPr>
          <w:b/>
        </w:rPr>
        <w:t>E. 5</w:t>
      </w:r>
    </w:p>
    <w:p>
      <w:r>
        <w:t>Dezember 2015, zu laufen und lief ab am Montag, 7. Dezember 2015. Die Be- schwerde der Oberzolldirektion datiert vom Dienstag, 8. Dezember 2015, und er- weist sich demnach als verspätet. Auf die verspätet eingereichte Beschwerde ist ohne Durchführung eines Schriftenwechsels nicht einzutreten. Die Voraussetzungen für ein ausnahmsweises Eintreten aus Gründen des Ver- trauensschutzes, vergleichbar etwa der Situation in BGE 122 IV 344 E. 4 f., sind hier klarerweise nicht gegeben: Die Rechtskenntnis der Verwaltung wird voraus- gesetzt, und eine irrtümliche Annahme über die tatsächlichen Grundlagen des Fristbeginns (Kenntnisnahme) sind klar auszuschliessen.</w:t>
      </w:r>
    </w:p>
    <w:p>
      <w:r>
        <w:t>2. Nach Art. 51 Abs. 6 VStrR bleibt die Festnahme bis zum Entscheid der Beschwer- dekammer bestehen. Mit vorliegendem Endentscheid fällt die Haft von A. somit dahin. Die Oberzolldirektion ist folglich anzuweisen, A. unverzüglich freizulassen. Ein Rechtstitel für eine Fortdauer des Freiheitsentzugs besteht nicht.</w:t>
      </w:r>
    </w:p>
    <w:p>
      <w:r>
        <w:t>3. Bei diesem Ausgang des Verfahrens ist keine Gerichtsgebühr zu erheben. Man- gels einschlägiger Aufwendungen im Beschwerdeverfahren ist dem Beschwerde- führer keine Prozessentschädigung zuzusprechen.</w:t>
      </w:r>
    </w:p>
    <w:p>
      <w:r>
        <w:t>- 5 -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