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BH.2014.5 vom 15. Mai 2014</w:t>
      </w:r>
    </w:p>
    <w:p>
      <w:r>
        <w:t>Bundesstrafgericht, 2014-05-15, DE</w:t>
      </w:r>
    </w:p>
    <w:p>
      <w:r>
        <w:rPr>
          <w:b/>
        </w:rPr>
        <w:t xml:space="preserve">Quelle: </w:t>
      </w:r>
      <w:r>
        <w:t>https://mcp.opencaselaw.ch/entscheid/bstger_BH.2014.5</w:t>
      </w:r>
    </w:p>
    <w:p>
      <w:r>
        <w:t>FR: TPF BH.2014.5 du 15 mai 2014</w:t>
      </w:r>
    </w:p>
    <w:p>
      <w:r>
        <w:t>IT: TPF BH.2014.5 del 15 maggio 2014</w:t>
      </w:r>
    </w:p>
    <w:p>
      <w:pPr>
        <w:pStyle w:val="Heading2"/>
      </w:pPr>
      <w:r>
        <w:t>Regeste</w:t>
      </w:r>
    </w:p>
    <w:p>
      <w:r>
        <w:t>Dauer der Haft im Verwaltungsstrafverfahren (Art. 52 ff. VStrR).</w:t>
      </w:r>
    </w:p>
    <w:p>
      <w:pPr>
        <w:pStyle w:val="Heading2"/>
      </w:pPr>
      <w:r>
        <w:t>Erwägungen</w:t>
      </w:r>
    </w:p>
    <w:p>
      <w:r>
        <w:rPr>
          <w:b/>
        </w:rPr>
        <w:t>E. 1.1</w:t>
      </w:r>
    </w:p>
    <w:p>
      <w:r>
        <w:t>Art. 57 Abs. 1 SBG besagt, dass bei der Verfolgung von Widerhandlungen gegen das SBG das Bundesgesetz vom 22. März 1974 über das Verwal- tungsstrafrecht (VStrR; SR 313.0) zur Anwendung gelangt. Verfolgende Behörde ist dabei das Sekretariat der ESBK.</w:t>
      </w:r>
    </w:p>
    <w:p>
      <w:r>
        <w:rPr>
          <w:b/>
        </w:rPr>
        <w:t>E. 1.2</w:t>
      </w:r>
    </w:p>
    <w:p>
      <w:r>
        <w:t>Gegen Zwangsmassnahmen im Sinne der Art. 45 ff. VStrR und damit zu- sammenhängende Amtshandlungen kann bei der Beschwerdekammer des Bundesstrafgerichts Beschwerde geführt werden (Art. 26 Abs. 1 VStrR), wobei die Anordnung und die Verlängerung der Untersuchungshaft Zwangsmassnahmen im Sinne der genannten Bestimmung sind (BGE 101 IV 107 S. 111). Die Beschwerde ist innert drei Tagen, nachdem der Beschwerdeführer von der Amtshandlung Kenntnis erhalten hat, bei der zuständigen Behörde schriftlich mit Antrag und kurzer Begründung einzu- reichen (Art. 28 Abs. 3 VStrR).</w:t>
      </w:r>
    </w:p>
    <w:p>
      <w:r>
        <w:t>Die Eintretensvoraussetzungen geben zu keinen Bemerkungen Anlass. Auf die Beschwerde ist einzutreten.</w:t>
      </w:r>
    </w:p>
    <w:p>
      <w:r>
        <w:rPr>
          <w:b/>
        </w:rPr>
        <w:t>E. 2.1</w:t>
      </w:r>
    </w:p>
    <w:p>
      <w:r>
        <w:t>Der untersuchende Beamte kann den einer Widerhandlung dringend Ver- dächtigen vorläufig festnehmen, wenn ein Haftgrund nach Artikel 52 ange- nommen werden muss und Gefahr im Verzug ist (Art. 51 Abs. 1 VStrR). Muss nach wie vor ein Haftgrund angenommen werden, so ist der Festge- nommene unverzüglich der zur Ausstellung von Haftbefehlen ermächtigten kantonalen Gerichtsbehörde zuzuführen. Ist die Festnahme in abgelege- nem oder unwegsamem Gebiet erfolgt oder ist die zuständige kantonale Gerichtsbehörde nicht sogleich erreichbar, so hat die Zuführung innert 48 Stunden zu erfolgen (Art. 51 Abs. 3 VStrR). Die Gerichtsbehörde prüft, ob ein Haftgrund besteht; der untersuchende Beamte und der Festgenom- mene sind dazu anzuhören (Art. 51 Abs. 3 VStrR). Hierauf verfügt die Ge- richtsbehörde die Verhaftung oder die Freilassung, gegebenenfalls gegen</w:t>
      </w:r>
    </w:p>
    <w:p>
      <w:r>
        <w:t>- 4 -</w:t>
      </w:r>
    </w:p>
    <w:p>
      <w:r>
        <w:t>Sicherheitsleistung. Der Entscheid kann mit Beschwerde gemäss Art. 26 VStrR angefochten werden (Art. 51 Abs. 5 VStrR).</w:t>
      </w:r>
    </w:p>
    <w:p>
      <w:r>
        <w:t>Ist der Beschuldigte einer Widerhandlung dringend verdächtigt, so darf ge- gen ihn ein Haftbefehl erlassen werden, wenn bestimmte Umstände den Verdacht begründen, dass er sich der Strafverfolgung oder dem Strafvoll- zug entziehen werde (Art. 52 Abs. 1 lit. a VStrR) oder dass er Spuren der Tat verwischen, Beweisgegenstände beseitigen, Zeugen oder Mitbeschul- digte zu falschen Aussagen verleiten oder auf ähnliche Weise den Zweck der Untersuchung gefährden werde (Art. 52 Abs. 1 lit. b VStrR). Ein Haftbe- fehl darf nicht erlassen werden, wenn dies zur Bedeutung der Sache in ei- nem Missverhältnis stehen würde (Art. 52 Abs. 2 VStrR).</w:t>
      </w:r>
    </w:p>
    <w:p>
      <w:r>
        <w:t>Wird die Haft aufrechterhalten, so ist die Untersuchung möglichst zu be- schleunigen. Die Haft darf in jedem Falle die voraussichtliche Dauer einer Freiheits- oder Umwandlungsstrafe nicht übersteigen (Art. 57 Abs. 1 VStrR). Eine nach Artikel 52 Absatz 1 lit. b VStrR verfügte Untersuchungs- haft darf nur mit besonderer Bewilligung der Behörde, die den Haftbefehl ausstellte, länger als 14 Tage aufrecht erhalten werden (Art. 57 Abs. 2 VStrR). Der untersuchende Beamte hat den Verhafteten freizulassen, so- bald kein Haftgrund mehr besteht (Art. 59 Abs. 1 VStrR). Der Verhaftete kann jederzeit ein Haftentlassungsgesuch einreichen (Art. 59 Abs. 2 VStrR).</w:t>
      </w:r>
    </w:p>
    <w:p>
      <w:r>
        <w:rPr>
          <w:b/>
        </w:rPr>
        <w:t>E. 2.2</w:t>
      </w:r>
    </w:p>
    <w:p>
      <w:r>
        <w:t>Mit Verfügung vom 24. April 2014 hielt das Haftgericht SO sinngemäss fest, dass die Voraussetzungen der Untersuchungshaft gemäss Art. 52 Abs. 1 lit. b VStrR erfüllt seien. Das Haftgericht SO begründet die Kollusionsgefahr damit, dass es wichtig sei, die weiteren Beteiligten einzu- vernehmen, ohne dass A. diese über den Stand des Strafverfahrens infor- mieren könne und ohne dass sie ihre Aussagen untereinander absprechen könnten. Weiter sei wichtig, die ersten Erkenntnisse aus der Auswertung der beschlagnahmten Unterlagen zu gewinnen und A. damit zu konfrontie- ren, ohne dass er in Freiheit allfällige Erklärungen für belastende Erkennt- nisse konstruieren könne. Aufgrund der Bedeutung des Strafverfahrens für ihn und der Nähe zu seinen ebenfalls beschuldigten Brüdern würde er dies offensichtlich tun (act. 1 S. 5 und 6).</w:t>
      </w:r>
    </w:p>
    <w:p>
      <w:r>
        <w:rPr>
          <w:b/>
        </w:rPr>
        <w:t>E. 2.3</w:t>
      </w:r>
    </w:p>
    <w:p>
      <w:r>
        <w:t>Kollusion bedeutet, dass sich der Beschuldigte mit Zeugen, Auskunftsper- sonen, Sachverständigen oder Mitbeschuldigten ins Einvernehmen setzt oder sie zu wahrheitswidrigen Aussagen veranlasst. Die Untersuchungshaft wegen Kollusionsgefahr soll verhindern, dass ein Beschuldigter die Freiheit dazu missbraucht, die wahrheitsgetreue Abklärung des Sachverhaltes zu</w:t>
      </w:r>
    </w:p>
    <w:p>
      <w:r>
        <w:t>- 5 -</w:t>
      </w:r>
    </w:p>
    <w:p>
      <w:r>
        <w:t>vereiteln oder zu gefährden. Dabei genügt nach der Rechtsprechung die theoretische Möglichkeit, dass der Beschuldigte in Freiheit kolludieren könnte nicht, um die Fortsetzung der Haft unter diesem Titel zu rechtferti- gen; vielmehr müssen konkrete Indizien für eine solche Gefahr sprechen (Urteil des Bundesgerichts 1B_52/2014 vom 21. Februar 2014; BGE 123 I 31 E. 3c; 117 Ia 257 E. 4b und c).</w:t>
      </w:r>
    </w:p>
    <w:p>
      <w:r>
        <w:rPr>
          <w:b/>
        </w:rPr>
        <w:t>E. 2.4</w:t>
      </w:r>
    </w:p>
    <w:p>
      <w:r>
        <w:t>Die ESBK hat bereits am 18. Juni 2013 eine Hausdurchsuchung in den Räumlichkeiten des Hotel B., dessen Inhaber und Geschäftsführer A. ist, vollzogen. Gleichentags wurde A. zur Sache einvernommen. Ihm war somit spätestens seit 18. Juni 2013 bewusst, dass die ESBK gegen ihn ermittelt. Erst am 2. April 2014 wurde A. angehalten und gestützt auf Art. 52 Abs. 1 lit. b VStrR in Untersuchungshaft versetzt. Er war somit vom 18. Juni 2013 bis 2. April 2014 auf freiem Fuss.</w:t>
      </w:r>
    </w:p>
    <w:p>
      <w:r>
        <w:t>Die ESBK führt diesbezüglich aus, dass gestützt auf die Ermittlungsergeb- nisse der Hausdurchsuchung vom 18. Juni 2013 A. am 2. April 2014 ange- halten wurde und die weiteren Hausdurchsuchungen erfolgt seien. A. sei am 18. Juni 2013 zunächst zu den Tatvorwürfen des Übertretungstatbe- standes von Art. 56 Abs. 1 lit. a und c SBG befragt worden (Art. 56 Abs. 1 SBG sagt: Mit Haft oder mit Busse bis zu 500 000 Franken wird bestraft, wer Glücksspiele ausserhalb konzessionierter Spielbanken organisiert oder gewerbsmässig betreibt [a]; Spielsysteme oder Glücksspielautomaten ohne Prüfung, Konformitätsbewertung oder Zulassung zum Zweck des Betriebs aufstellt [c]). Gestützt auf die obgenannten Auswertungen sei A. am 2. April 2014 erstmals mit dem Straftatbestand von Art. 55 lit. a SBG konfrontiert worden (Art. 55 Abs. 1 lit. a SBG sagt: Mit Gefängnis bis zu einem Jahr oder mit Busse bis zu 1 Million Franken wird bestraft, wer vorsätzlich eine Spielbank errichtet, betreibt, dazu Raum gibt oder Spieleinrichtungen be- schafft, ohne dass die dafür notwendigen Konzessionen oder Bewilligun- gen vorliegen). Somit hätte er bis dahin nicht wissen können, dass die ESBK nicht nur betreffend Widerhandlungen gegen das SBG im Hotel B., sondern weitergehend ermittle. Diese weiteren Ermittlungen gelte es nicht zu gefährden (act. 4.1 S. 4). Das Haftgericht SO hält diesbezüglich in sei- ner Verfügung vom 4. April 2014 (Anordnung der Untersuchungshaft) fest, dass es wichtig sei, die Mitbeteiligten ohne Beeinflussung von A. befragen zu können (act. 4.2 S. 6).</w:t>
      </w:r>
    </w:p>
    <w:p>
      <w:r>
        <w:rPr>
          <w:b/>
        </w:rPr>
        <w:t>E. 2.5</w:t>
      </w:r>
    </w:p>
    <w:p>
      <w:r>
        <w:t>Unbestrittenermassen war A. vom 18. Juni 2013 bis 2. April 2014 auf frei- em Fuss und wusste, dass die ESBK eine Strafuntersuchung gegen ihn führt und welche Gegenstände bei ihm am 18. Juni 2013 beschlagnahmt wurden. Er konnte somit auch erahnen, dass die ESBK gestützt auf die</w:t>
      </w:r>
    </w:p>
    <w:p>
      <w:r>
        <w:t>- 6 -</w:t>
      </w:r>
    </w:p>
    <w:p>
      <w:r>
        <w:t>Auswertungen der obgenannten Gegenstände weitere ähnlich gelagerte Sachverhaltsvorwürfe gegen ihn erheben werde. Hätte er die Absicht ge- habt, Verdunkelungshandlungen vorzunehmen, so hatte er während den knapp 10 Monaten auf freiem Fuss mehrmals genügend Zeit dazu.</w:t>
      </w:r>
    </w:p>
    <w:p>
      <w:r>
        <w:rPr>
          <w:b/>
        </w:rPr>
        <w:t>E. 2.6</w:t>
      </w:r>
    </w:p>
    <w:p>
      <w:r>
        <w:t>Nach dem Gesagten ist der besondere Haftgrund der Kollisionsgefahr nicht gegeben, weswegen die Beschwerde gutzuheissen ist. Die Verfügung des Haftgerichts SO vom 24. April 2014 ist aufzuheben und A. ist umgehend aus der Untersuchungshaft zu entlassen.</w:t>
      </w:r>
    </w:p>
    <w:p>
      <w:r>
        <w:rPr>
          <w:b/>
        </w:rPr>
        <w:t>E. 3.1</w:t>
      </w:r>
    </w:p>
    <w:p>
      <w:r>
        <w:t>Bei diesem Ausgang des Verfahrens sind keine Gerichtsgebühren zu erhe- ben (Art. 25 Abs. 4 VStrR i.V.m. Art. 66 Abs. 4 BGG analog [vgl. TPF 2011 25 E. 3]).</w:t>
      </w:r>
    </w:p>
    <w:p>
      <w:r>
        <w:rPr>
          <w:b/>
        </w:rPr>
        <w:t>E. 3.2</w:t>
      </w:r>
    </w:p>
    <w:p>
      <w:r>
        <w:t>Der Beschwerdegegner hat dem Beschwerdeführer für seine Aufwendun- gen im vorliegenden Verfahren eine Parteientschädigung zu entrichten. Da der Beschwerdeführer keine Kostennote einreichte, ist diese pauschal auf Fr. 1'500.-- festzusetzen (Art. 73 StBOG und Art. 5 und 8 Abs. 1 des Reg- lements des Bundesstrafgerichts vom 31. August 2010 über die Kosten, Gebühren und Entschädigungen in Bundesstrafverfahren [BStKR; SR 173.713.162] i.V.m. Art. 25 Abs. 4 VStrR i.V.m. Art. 68 Abs. 1 und 2 BGG analog [vgl. TPF 2011 25 E. 3]).</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