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BH.2014.17 vom 4. Dezember 2014</w:t>
      </w:r>
    </w:p>
    <w:p>
      <w:r>
        <w:t>Bundesstrafgericht, 2014-12-04, DE</w:t>
      </w:r>
    </w:p>
    <w:p>
      <w:r>
        <w:rPr>
          <w:b/>
        </w:rPr>
        <w:t xml:space="preserve">Quelle: </w:t>
      </w:r>
      <w:r>
        <w:t>https://mcp.opencaselaw.ch/entscheid/bstger_BH.2014.17</w:t>
      </w:r>
    </w:p>
    <w:p>
      <w:r>
        <w:t>FR: TPF BH.2014.17 du 4 décembre 2014</w:t>
      </w:r>
    </w:p>
    <w:p>
      <w:r>
        <w:t>IT: TPF BH.2014.17 del 4 dicembre 2014</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Zuständigkeit der Beschwerdekammer zur Beurteilung von Beschwerden gegen Entscheide kantonaler Zwangsmassnahmengerichte im Bereich der Bundesgerichtsbarkeit ergibt sich aus Art. 65 Abs. 1 und 3 i.V.m. Art. 37 Abs. 1 StBOG. Zur Beschwerde berechtigt ist, wer ein rechtlich geschütztes Interesse an der Aufhebung oder Änderung des angefochtenen Entschei- des hat (Art. 382 Abs. 1 i.V.m. Art. 105 Abs. 2 StPO; GUIDON, Die Be- schwerde gemäss Schweizerischer Strafprozessordnung, Berner Diss., Zü- rich/St. Gallen 2011, N. 247 ff.). 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w:t>
      </w:r>
    </w:p>
    <w:p>
      <w:r>
        <w:t>unvollständige oder unrichtige Feststellung des Sachverhalts (Art. 393 Abs. 2 lit. b StPO) und die Unangemessenheit (Art. 393 Abs. 2 lit. c StPO).</w:t>
      </w:r>
    </w:p>
    <w:p>
      <w:r>
        <w:rPr>
          <w:b/>
        </w:rPr>
        <w:t>E. 1.2</w:t>
      </w:r>
    </w:p>
    <w:p>
      <w:r>
        <w:t>Beweisanträge sind nicht Gegenstand des Haftprüfungsverfahrens; die konkreten Anträge wären zudem ohnehin deshalb unzulässig, weil sie ohne Rechtsnachteil vor dem erstinstanzlichen Gericht wiederholt werden kön- nen (vgl. Art. 394 lit. b StPO). Insoweit ist auf die Beschwerde nicht einzu- treten. Die Beschwerdekammer kann sodann keine Untersuchung gegen die BA wegen grober Verfahrensführung anordnen. Auf diesen Antrag des im Hauptverfahren amtlich verteidigten Beschuldigten ist ohne Weiterungen nicht einzutreten.</w:t>
      </w:r>
    </w:p>
    <w:p>
      <w:r>
        <w:rPr>
          <w:b/>
        </w:rPr>
        <w:t>E. 1.3</w:t>
      </w:r>
    </w:p>
    <w:p>
      <w:r>
        <w:t>Damit ist auf die Beschwerde soweit einzutreten, als sie die Entlassung des Beschuldigten aus der Untersuchungshaft beantragt.</w:t>
      </w:r>
    </w:p>
    <w:p>
      <w:r>
        <w:rPr>
          <w:b/>
        </w:rPr>
        <w:t>E. 2</w:t>
      </w:r>
    </w:p>
    <w:p>
      <w:r>
        <w:t>Nach Art. 221 Abs. 1 StPO ist Untersuchungshaft nur zulässig, wenn die beschuldigte Person eines Verbrechens oder Vergehens dringend verdäch- tigt ist und zusätzlich einer der (besonderen) Haftgründe Fluchtgefahr (Iit. a), Kollusionsgefahr (Iit. b) oder Wiederholungsgefahr (Iit. c) vorliegt. Haft ist auch zulässig, wenn ernsthaft zu befürchten ist, eine Person werde ihre Drohung, ein schweres Verbrechen auszuführen, wahrmachen (Art. 221 Abs. 2 StPO). Wie andere Zwangsmassnahmen auch, hat die Un- tersuchungshaft dem Verhältnismässigkeitsprinzip zu genügen (Art. 197 Abs. 1 lit. c und d StPO). Demnach ordnet das zuständige Gericht gemäss Art. 237 Abs. 1 StPO eine oder mehrere mildere Massnahmen an, wenn sie den gleichen Zweck wie die Haft erfüllen. Zudem darf die Untersuchungs- haft nicht länger dauern als die zu erwartende Freiheitsstrafe (Art. 212 Abs. 3 StPO).</w:t>
      </w:r>
    </w:p>
    <w:p>
      <w:r>
        <w:rPr>
          <w:b/>
        </w:rPr>
        <w:t>E. 3.1</w:t>
      </w:r>
    </w:p>
    <w:p>
      <w:r>
        <w:t>Der Beschuldigte bestreitet den dringenden Tatverdacht. Er legt in seiner Beschwerde dar, ohne sein Zutun in die Strafuntersuchung verstrickt wor- den zu sein. Er sei nur Dolmetscher des weder englisch noch deutsch sprechenden R. gewesen. Er habe ein reines Gewissen und sei getäusch- tes Opfer. Andere, insbesondere der Mitbeschuldigte B., hätten die Order zu den untersuchten Überweisungen gegeben.</w:t>
      </w:r>
    </w:p>
    <w:p>
      <w:r>
        <w:rPr>
          <w:b/>
        </w:rPr>
        <w:t>E. 3.2</w:t>
      </w:r>
    </w:p>
    <w:p>
      <w:r>
        <w:t>Vorliegend ist der dringende Tatverdacht in einer Untersuchung zu prüfen, die zahlreiche Beweismittel erhoben hat und kurz vor dem Abschluss steht.</w:t>
      </w:r>
    </w:p>
    <w:p>
      <w:r>
        <w:t>Das Haftgericht hat bei der Überprüfung des dringenden Tatverdachts kei- ne erschöpfende Abwägung sämtlicher belastender und entlastender Be- weisergebnisse vorzunehmen. Zu prüfen ist vielmehr, ob genügend konkre- te Anhaltspunkte für eine Straftat und eine Beteiligung des Beschwerdefüh- rers daran vorliegen, die Untersuchungsbehörden somit das Beste- hen eines dringenden Tatverdachts mit vertretbaren Gründen bejahen durf- ten. Im Haftprüfungsverfahren genügt der Nachweis von konkreten Ver- dachtsmomenten, wonach das inkriminierte Verhalten mit erheblicher Wahrscheinlichkeit die fraglichen Tatbestandsmerkmale erfüllen könnte. Das Beschleunigungsgebot in Haftsachen lässt keinen Raum für ausge- dehnte Beweismassnahmen. Zur Frage des dringenden Tatverdachts hat das Haftgericht weder ein eigentliches Beweisverfahren durchzuführen, noch dem erkennenden Strafgericht vorzugreifen. Vorbehalten bleibt allen- falls die Abnahme eines liquiden Alibibeweises (zum Ganzen: BGE 137 IV 122 E. 3.2/3.3; Urteil des Bundesgerichts 1B_180/2014 vom 10. Juni 2014, E. 3.3). Die Verdachtslage unterliegt einer umso strengeren Prüfung, je weiter das Verfahren fortgeschritten ist (TPF 2010 22 E. 2.1 S. 24 f.; Beschluss des Bundesstrafgerichts BB.2011.25 vom 30. Mai 2011, E. 3.2; vgl. hierzu an- schaulich BAUMANN, Basler Kommentar, 3. Aufl., Basel 2013, Art. 72 StGB N. 21). Nach Durchführung der in Betracht kommenden Untersuchungs- handlungen muss eine Verurteilung als wahrscheinlich erscheinen. Dabei ist eine summarische Würdigung der Beweise zulässig (BGE 137 IV 122 E. 3.3; Urteil des Bundesgerichts 1B_100/2009 vom 20. März 2009, E. 3.2.2).</w:t>
      </w:r>
    </w:p>
    <w:p>
      <w:r>
        <w:rPr>
          <w:b/>
        </w:rPr>
        <w:t>E. 3.3</w:t>
      </w:r>
    </w:p>
    <w:p>
      <w:r>
        <w:t>Wie im jüngst ergangenen Beschluss des Bundesstrafgerichts BH.2014.11 vom 8. September 2014, E. 4.2.5 und 4.5.2, dargelegt, war die Beteiligung des Beschuldigten nicht diejenige eines typischen Dolmetschers. Er er- schien als tief in die Geschehnisse verstrickt. So erhielten die im Zusam- menhang mit dem Beschuldigten stehenden F. Trust und J. namhafte Be- träge aus den zu investierenden Geldern der E. Holding. Solche Gelder flossen auch an die Tochter des Beschuldigten. Eine Verurteilung des Be- schuldigten erschien als wahrscheinlich. Wie das ZMG zutreffend ent- schied, besteht auch heute noch gegen den Beschuldigten der dringende Tatverdacht des Betrugs und der Geldwäscherei. Auch die vor der Be- schwerdekammer gemachten Ausführungen des Beschuldigten können ihn davon nicht entlasten.</w:t>
      </w:r>
    </w:p>
    <w:p>
      <w:r>
        <w:rPr>
          <w:b/>
        </w:rPr>
        <w:t>E. 4</w:t>
      </w:r>
    </w:p>
    <w:p>
      <w:r>
        <w:t>Der Beschuldigte macht keine spezifischen Ausführungen zu den besonde- ren Haftgründen oder zur Verhältnismässigkeit der Untersuchungshaft. Auch in diesem Punkt sind die Darlegungen des ZMG jedenfalls zutreffend.</w:t>
      </w:r>
    </w:p>
    <w:p>
      <w:r>
        <w:rPr>
          <w:b/>
        </w:rPr>
        <w:t>E. 5</w:t>
      </w:r>
    </w:p>
    <w:p>
      <w:r>
        <w:t>Insgesamt gehen die erhobenen Rügen fehl. Soweit auf die Beschwerde überhaupt einzutreten ist, ist sie daher abzuweisen.</w:t>
      </w:r>
    </w:p>
    <w:p>
      <w:r>
        <w:rPr>
          <w:b/>
        </w:rPr>
        <w:t>E. 6</w:t>
      </w:r>
    </w:p>
    <w:p>
      <w:r>
        <w:t>Bei diesem Ausgang des Verfahrens hat der unterliegende Beschwerdefüh- rer die Gerichtskosten zu tragen (Art. 428 Abs. 1 StPO). Die unter den vor- liegenden Umständen zu erhebende Gerichtsgebühr ist auf Fr. 1'500.-- festzusetzen (Art. 73 StBOG i.V.m. Art. 5 und 8 Abs. 2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