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BH.2013.3 vom 2. Juli 2013</w:t>
      </w:r>
    </w:p>
    <w:p>
      <w:r>
        <w:t>Bundesstrafgericht, 2013-07-02, FR</w:t>
      </w:r>
    </w:p>
    <w:p>
      <w:r>
        <w:rPr>
          <w:b/>
        </w:rPr>
        <w:t xml:space="preserve">Quelle: </w:t>
      </w:r>
      <w:r>
        <w:t>https://mcp.opencaselaw.ch/entscheid/bstger_BH.2013.3</w:t>
      </w:r>
    </w:p>
    <w:p>
      <w:r>
        <w:t>FR: TPF BH.2013.3 du 2 juillet 2013</w:t>
      </w:r>
    </w:p>
    <w:p>
      <w:r>
        <w:t>IT: TPF BH.2013.3 del 2 luglio 2013</w:t>
      </w:r>
    </w:p>
    <w:p>
      <w:pPr>
        <w:pStyle w:val="Heading2"/>
      </w:pPr>
      <w:r>
        <w:t>Regeste</w:t>
      </w:r>
    </w:p>
    <w:p>
      <w:r>
        <w:t>Rejet de la demande de libération de la détention provisoire (art. 228 en lien avec l'art. 222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[ci- après: Commentaire bâlois], Bâle 2011, no 15 ad art. 393; KELLER, Kom- mentar zur Schweizerischen Strafprozessordnung [StPO], [Do- natsch/Hansjakob/Lieber, éd.; ci-après: Kommentar], Zurich/Bâle/Genève</w:t>
      </w:r>
    </w:p>
    <w:p>
      <w:r>
        <w:t>- 4 -</w:t>
      </w:r>
    </w:p>
    <w:p>
      <w:r>
        <w:t>2010, no 39 ad art. 393; SCHMID, Handbuch des schweizerischen Strafpro- zessrechts, Zurich/Saint-Gall 2009,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Cour des plaintes du Tribunal pé- nal fédéral est compétente pour statuer sur les recours contre les décisions des tribunaux des mesures de contrainte cantonaux dans les affaires rele- 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En l'espèce, interjeté dans le délai de dix jours dès la notification du pro- noncé entrepris, le recours à l'encontre du rejet de la demande de mise en liberté l'a été en temps utile. L’intérêt juridiquement protégé de la détenue à entreprendre une telle décision ne faisant aucun doute, cette dernière est légitimée à recourir. Le recours est ainsi recevable dans la mesure où il concerne le rejet de la demande de mise en liberté.</w:t>
      </w:r>
    </w:p>
    <w:p>
      <w:r>
        <w:rPr>
          <w:b/>
        </w:rPr>
        <w:t>E. 1.4</w:t>
      </w:r>
    </w:p>
    <w:p>
      <w:r>
        <w:t>Il en va au contraire différemment de la question de l'accès au dossier. A ce sujet, il y a en effet lieu de relever que la recourante tente, par le biais d'un recours à l'encontre d'un prononcé rendu par le TMC, de s'attaquer à une mesure mise en place par le MPC. Pour cette raison déjà, les conclu- sions quant à l'accès au dossier apparaissent manifestement irrecevables. Au surplus, et contrairement à ce que soutient la recourante, force est de constater que le MPC a statué sur la question de l'accès au dossier dans son écrit du 4 juin 2013 (act. 5.2). Même si l'on devait considérer le présent recours comme étant également dirigé contre ce prononcé, il s'imposerait de constater que celui-ci serait en tout état de cause tardif. Au vu de la dé- cision du 4 juin 2013, un recours pour déni de justice ne saurait au surplus être envisageable. Compte tenu de ces éléments, la Cour de céans ne peut nullement entrer en matière sur la question de l'accès au dossier, de sorte que les conclusions de la recourante à cet égard sont irrecevables.</w:t>
      </w:r>
    </w:p>
    <w:p>
      <w:r>
        <w:t>- 5 -</w:t>
      </w:r>
    </w:p>
    <w:p>
      <w:r>
        <w:rPr>
          <w:b/>
        </w:rPr>
        <w:t>E. 2</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 pas être atteints par des mesures moins sévères, et qu’elle apparaît justi- fiée au regard de la gravité de l’infraction (art. 197 al. 1 let. c et d CPP).</w:t>
      </w:r>
    </w:p>
    <w:p>
      <w:r>
        <w:rPr>
          <w:b/>
        </w:rPr>
        <w:t>E. 2.1</w:t>
      </w:r>
    </w:p>
    <w:p>
      <w:r>
        <w:t>La recourante conteste l'existence de soupçons suffisants (act. 1, p. 4 s.). Elle fait valoir que le rapport de la Police judiciaire fédérale (ci-après: PJF) du 16 janvier 2013, sur lequel elle estime que se seraient essentiellement basés le TMC et le MPC, lui aurait été fourni de manière caviardée et sans annexes de sorte qu'elle aurait été empêchée d'examiner si les résultats de l'enquête préliminaire étaient suffisamment probants. Elle indique au sur- plus qu'elle a fait usage de son droit de se taire compte tenu du refus de donner accès au dossier à son défenseur. Les déclarations qu'elle a faites à la police – relatives à la présence de Khat à son domicile en vue de sa consommation personnelle – n'apparaîtraient en outre pas moins vraisem- blables que les conclusions du rapport précité. Enfin, le MPC n'aurait pro- cédé à aucun acte d'instruction depuis le prononcé de la détention provi- soire.</w:t>
      </w:r>
    </w:p>
    <w:p>
      <w:r>
        <w:rPr>
          <w:b/>
        </w:rPr>
        <w:t>E. 2.1.1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Bâle 2011, no 8 ad art. 221 et références citées en note de bas de page 4; HUG, Kommentar, nos 4 et 5 ad art. 221; SCHMID, op. cit., no 1019). Selon la jurisprudence du Tribunal fédéral, l’intensité des charges justifiant une dé- tention varie selon les divers stades de l’instruction pénale. Des soupçons encore peu précis peuvent être considérés comme suffisants dans les premiers temps de l’enquête, mais la perspective d’une condamnation doit paraître vraisemblable après l’accomplissement de tous les actes</w:t>
      </w:r>
    </w:p>
    <w:p>
      <w:r>
        <w:t>- 6 -</w:t>
      </w:r>
    </w:p>
    <w:p>
      <w:r>
        <w:t>d’instruction envisageables (arrêt du Tribunal fédéral 1B_42/2012 du 14 fé- vrier 2012, consid. 3.1 et références citées).</w:t>
      </w:r>
    </w:p>
    <w:p>
      <w:r>
        <w:rPr>
          <w:b/>
        </w:rPr>
        <w:t>E. 2.1.2</w:t>
      </w:r>
    </w:p>
    <w:p>
      <w:r>
        <w:t>S'agissant des reproches relatifs à l'utilisation du rapport caviardé, c'est le lieu de souligner que lorsque le MPC transmet au TMC sa prise de position quant au rejet de la demande de libération, il est tenu de joindre les pièces essentielles du dossier (cf. art. 228 al. 2 CPP; FORSTER, Commentaire bâ- lois, nos 3 et 4 ad art. 228). Le Tribunal fédéral a rappelé, en relation avec la règle similaire prévue à l'art. 224 al. 2 CPP, que cette exigence concrétise le droit d'être entendu garanti à l'art. 29 al. 2 Cst. et, en matière de déten- tion, aux art. 5 par. 4 CEDH et 31 al. 2 Cst. (arrêt du Tribunal fédéral 1B.593/2011 du 9 novembre 2011, consid. 2.1). Selon la jurisprudence, la personne concernée par une procédure de mise en détention doit pouvoir accéder aux éléments de preuve y relatifs, tels que les résultats de l'en- quête de police et des autres mesures d'investigation, de manière à pouvoir contester efficacement la mesure de détention (ATF 125 I 394 consid. 5b; 115 Ia 293 consid. 4-6). Le droit de consulter le dossier n'est toutefois pas absolu; il peut être restreint lorsque l'intérêt public ou l'intérêt prépondérant de tiers exigent que tout ou partie des documents soient tenus secrets. Ces restrictions ne doivent pas équivaloir en fait à un refus de donner accès au dossier (arrêt du Tribunal fédéral 1B.593/2011 précité, consid. 2.1 et réfé- rence citée). En tout état de cause, lorsque le droit de consulter le dossier est limité, l'autorité n'est autorisée à utiliser un élément de celui-ci pour mo- tiver le maintien en détention que dans la mesure où elle en communique au prévenu les pièces essentielles susceptibles d'influer de manière déci- sive sur la question de la détention préventive, en supprimant au besoin les informations devant impérativement rester secrètes, ou en ne lui en révé- lant que l'essentiel (ATF 115 Ia 293 consid. 6c).</w:t>
      </w:r>
    </w:p>
    <w:p>
      <w:r>
        <w:t>En l'espèce, l'on ne peut conclure que le droit d'être entendue de la recou- rante a été violé. En effet, il apparaît que celle-ci a eu l'occasion de prendre connaissance des pièces essentielles du dossier dans la mesure néces- saire pour lui permettre de se déterminer sur les charges qui pèsent à son encontre et faire valoir en connaissance de cause ses objections de fond. En particulier, la version caviardée du rapport de la PJF du 16 janvier 2013, cité comme moyen de preuve dans l'ordonnance querellée (act. 4.1, p. 5), contient des informations suffisamment détaillées pour que la recourante ait pu déterminer les charges dirigées contre elle ainsi que les bases sur lesquelles ces dernières se fondent. Dans ce document, sont en particulier indiqués précisément les résultats des écoutes téléphoniques ordonnés en 2011. Les restrictions d'accès au dossier mises en place par le MPC ne prêtent au surplus pas flanc à la critique dans la mesure où elles visent à</w:t>
      </w:r>
    </w:p>
    <w:p>
      <w:r>
        <w:t>- 7 -</w:t>
      </w:r>
    </w:p>
    <w:p>
      <w:r>
        <w:t>prévenir le risque de collusion et à assurer la découverte de la vérité maté- rielle (la recourante devant encore être confrontée à l'ensemble des écoutes téléphoniques dont elle a fait l'objet ainsi que, entre autres, aux déclarations d'autres personnes impliquées et aux résultats de l'examen des différentes pièces séquestrées). La limitation de l'accès au dossier est ainsi conforme aux exigences de l'art. 101 al. 1 CPP selon lequel cet accès peut être restreint notamment jusqu'à l'administration des preuves princi- pales (v. à cet égard décision du Tribunal pénal fédéral BB.2012.63 du 20 décembre 2012, consid. 2.1).</w:t>
      </w:r>
    </w:p>
    <w:p>
      <w:r>
        <w:rPr>
          <w:b/>
        </w:rPr>
        <w:t>E. 2.1.3</w:t>
      </w:r>
    </w:p>
    <w:p>
      <w:r>
        <w:t>Sur le fond, les motivations de l'instance précédente apparaissent justi- fiées. Le TMC a retenu que les éléments suivants participaient à l'établis- sement des charges suffisantes en relation avec la prévention de blanchi- ment d'argent et d'infraction grave à la loi sur les stupéfiants: les observa- tions et constatations reportées dans le rapport de la PJF précité, les décla- rations évasives voire contradictoires de la prévenue, la condamnation de celle-ci en 2012 pour une affaire de stupéfiants portant sur du Khat, ainsi que la découverte, lors des perquisitions effectuées le 10 avril 2013 dans les appartements qu'elle occupe, de 210 fagots de ladite drogue, d'une carte de location de voitures et d'une somme d'argent de provenance non établie (act. 4.1, p. 6). Or, la Cour de céans ne peut que partager l'analyse de l'instance inférieure. Les éléments précités suffisent en effet à admettre en l'état l'existence de forts soupçons. En particulier, le rapport de la PJF du 16 janvier 2013 (act. 4.6) expose les résultats des écoutes télépho- niques ordonnées sur les raccordements utilisés entre autres par la recou- rante en mettant en lumière que celle-ci serait à la tête d'un commerce illé- gal de Khat et qu'elle organiserait et dirigerait les transferts de ce stupéfiant à partir des Pays-Bas jusqu'en Suisse. Ces écoutes, intervenues entre les</w:t>
      </w:r>
    </w:p>
    <w:p>
      <w:r>
        <w:rPr>
          <w:b/>
        </w:rPr>
        <w:t>E. 2.2</w:t>
      </w:r>
    </w:p>
    <w:p>
      <w:r>
        <w:t>La recourante conteste également le risque de fuite (act. 1, p. 6). En subs- tance, elle allègue que les éléments retenus dans ce contexte par le TMC ne seraient pas suffisamment concrets pour répondre aux conditions po- sées en la matière par la jurisprudence.</w:t>
      </w:r>
    </w:p>
    <w:p>
      <w:r>
        <w:rPr>
          <w:b/>
        </w:rPr>
        <w:t>E. 2.2.1</w:t>
      </w:r>
    </w:p>
    <w:p>
      <w:r>
        <w:t>La Cour ne saurait partager l'avis de la recourante. En l'espèce, le risque de fuite est réalisé, étant rappelé que celui-ci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consid. 4a).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w:t>
      </w:r>
    </w:p>
    <w:p>
      <w:r>
        <w:t>- 9 -</w:t>
      </w:r>
    </w:p>
    <w:p>
      <w:r>
        <w:t>le risque de fuite non seulement possible, mais également probable (arrêt du Tribunal fédéral 1B.167/2013 du 16 mai 2013, consid. 3.1 et arrêts ci- tés). La gravité de l'infraction ne peut pas, à elle seule, justifier la prolonga- tion de la détention, même si elle permet souvent de présumer un danger de fuite en raison de l'importance de la peine dont le prévenu est menacé (ATF 125 I 60 consid. 3a; 117 Ia 69 consid. 4a; 108 Ia 64 consid. 3).</w:t>
      </w:r>
    </w:p>
    <w:p>
      <w:r>
        <w:t>In casu, le TMC a retenu que le risque de fuite était réalisé au vu de la lourde peine que la recourante encourt compte tenu de la gravité des re- proches pesant sur elle, notamment vu les quantités de Khat et les mon- tants en jeu, de sa situation professionnelle précaire ainsi que de celle de son mari, de la présence de membres de sa famille à l'étranger, des fré- quents voyages qu'elle a effectués hors de la Suisse et, enfin, des envois de sommes d'argent considérables qu'elle semble avoir opérés vers l'étranger. N'en déplaise à la recourante, ces éléments apparaissent suffi- samment concrets pour que le risque de fuite soit avéré. Il ressort en parti- culier des déclarations de celle-ci que les membres de sa famille résidant à l'étranger, avec lesquels elle affirme entretenir des liens, font partie de la famille proche (fille, sœur, frères, nièce; act. 5.7, p. 4). Au demeurant, elle semblerait disposer, d'après les résultats de l'enquête, de moyens finan- ciers importants susceptibles de lui permettre de quitter aisément la Suisse. De ce fait, le risque de fuite apparaît d'autant plus vraisemblable. En outre, bénéficiant d'une rente d'invalidité à 100 % (v. act. 1.8, p. 3), la recourante n'exerce pas d'activité professionnelle qui pourrait renforcer son rattache- ment au territoire helvétique. Par ailleurs, son attitude peu coopérante lors de ses interrogatoires en tant que prévenue – la recourante justifiant son refus de déposer par des motivations qui semblent varier au fur et à me- sure de l'avancement de la procédure (v. act. 5.10, procès-verbaux d'audi- tion des 15 mai et 4 juin 2013) –, laisse présumer qu'elle ne se tiendra pas à disposition de la justice en cas de libération. Au surplus, et contrairement à ce qu'elle affirme, l'instruction semble avancer sans désemparer. Il y a lieu de rappeler que le report d'audiences intervenu (au moins à deux re- prises selon ce qui ressort du dossier; cf. act. 5.10, procès-verbaux d'audi- tion des 15 mai et 4 juin 2013) est imputable à la recourante et à son refus de s'exprimer. Il n'y a ainsi dans ce contexte aucun reproche à formuler au MPC lequel, afin de pouvoir avancer dans son enquête et, de ce fait, ouvrir vraisemblablement l'accès au dossier, a à l'évidence besoin de confronter la recourante aux résultats des investigations.</w:t>
      </w:r>
    </w:p>
    <w:p>
      <w:r>
        <w:rPr>
          <w:b/>
        </w:rPr>
        <w:t>E. 2.3</w:t>
      </w:r>
    </w:p>
    <w:p>
      <w:r>
        <w:t>Dans sa réplique, la recourante estime que des mesures de substitution pourraient pallier au risque de fuite (act. 7, p. 7). Quand bien même elle ne formule pas de conclusions à cet égard, il y a lieu de souligner que de</w:t>
      </w:r>
    </w:p>
    <w:p>
      <w:r>
        <w:t>- 10 -</w:t>
      </w:r>
    </w:p>
    <w:p>
      <w:r>
        <w:t>telles mesures ne seraient en l'occurrence pas à même de contrecarrer le risque de collusion que la mise en liberté de la recourante est susceptible d'entraîner. De par les indications fournies par le MPC, il apparaît en effet indispensable que la recourante ne puisse pas interagir avec les autres personnes présumées impliquées dans la procédure (notamment avec les intervenants identifiés par les écoutes téléphoniques ainsi qu'avec les tiers l'ayant mise en cause auprès des autorités cantonales) avant que celles-ci ne soient entendues et que l'exploitation des pièces recueillies lors des dif- férentes perquisitions ne soit achevée. Il est en effet fort à craindre, compte tenu de ses dénégations ainsi que de son absence de collaboration, que la recourante ne s'abstiendra pas d'influencer la procédure en compromettant les éléments de preuve recueillis. La mise en place de mesures de substi- tution ne saurait ainsi être envisagée.</w:t>
      </w:r>
    </w:p>
    <w:p>
      <w:r>
        <w:rPr>
          <w:b/>
        </w:rPr>
        <w:t>E. 2.4</w:t>
      </w:r>
    </w:p>
    <w:p>
      <w:r>
        <w:t>La constatation de l’existence d’un risque de fuite, accessoirement de celui de collusion, dispense d’examiner la réalisation d’un risque de réitération au sens de l’art. 221 al. 1 let. c CPP.</w:t>
      </w:r>
    </w:p>
    <w:p>
      <w:r>
        <w:rPr>
          <w:b/>
        </w:rPr>
        <w:t>E. 2.5</w:t>
      </w:r>
    </w:p>
    <w:p>
      <w:r>
        <w:t>Au surplus proportionnée (la recourante étant détenue depuis le 10 avril 2013 alors que, à elle seule, l'infraction grave à la loi sur les stupéfiants est punissable d'une peine privative de liberté d'un an au moins et de trois ans au plus), la mesure de détention apparaît ainsi justifiée. C'est donc à juste titre que le TMC a rejeté la demande de mise en liberté de la recourante.</w:t>
      </w:r>
    </w:p>
    <w:p>
      <w:r>
        <w:t>3. Au vu des considérants qui précèdent, le recours doit par conséquent être rejeté.</w:t>
      </w:r>
    </w:p>
    <w:p>
      <w:r>
        <w:t>4. En tant que partie qui succombe, la recourante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 rale (RFPPF; RS 173.713.162 [ci-après: le règlement sur les frais]), sera fixé à CHF 1'500.--.</w:t>
      </w:r>
    </w:p>
    <w:p>
      <w:r>
        <w:t>- 11 -</w:t>
      </w:r>
    </w:p>
    <w:p>
      <w:r>
        <w:rPr>
          <w:b/>
        </w:rPr>
        <w:t>E. 5</w:t>
      </w:r>
    </w:p>
    <w:p>
      <w:r>
        <w:t>juillet et 8 novembre 2011, semblent en effet indiquer que la prévenue aurait importé 4'425 kg de Khat et en aurait vendu 3'493 kg pour un gain d'au moins CHF 315'000.--. Les extraits desdites écoutes, produits par le MPC dans le cadre de la présente procédure et transmis à la recourante en date du 24 juin 2013, semblent confirmer les dynamiques résumées dans le rapport précité en relatant les conversations entretenues par la prévenue en vue d'organiser le transport du stupéfiant et la distribution successive de celui-ci (act. 5.11). De nouvelles écoutes effectuées dès le 26 mars 2013 auraient en outre permis d'établir que l'activité de trafic de la recourante se serait poursuivie dans la période précédant son arrestation de la même manière qu'en 2011 (act. 5). La recourante aurait par ailleurs été mise en cause par certaines personnes interpellées lors d'interventions effectuées dans différents cantons (act. 4.6 et 5). De surcroît, il ressort du rapport de la PJF du 16 janvier 2013 que la recourante aurait versé, entre décembre</w:t>
      </w:r>
    </w:p>
    <w:p>
      <w:r>
        <w:t>- 8 -</w:t>
      </w:r>
    </w:p>
    <w:p>
      <w:r>
        <w:t>et janvier 2008, CHF 84'000.-- sur les comptes de la société B. Sàrl (act. 4.6). Un montant de quelque peu inférieur à CHF 3.5 mio aurait au surplus été transféré sur lesdits comptes, entre janvier 2008 et janvier 2010, par une société D. laquelle aurait son adresse au domicile de la re- courante. Or, d'une part, l'importance des montants en jeu rend la prove- nance de ces transactions particulièrement suspecte, notamment compte tenu des revenus que la recourante déclare toucher et de la situation finan- cière dont elle fait état (v. act. 5.10, p. 4). D'autre part, ces opérations, de nature à masquer l'origine des valeurs patrimoniales, peuvent être constitu- tives de blanchiment d'argent et fonder ainsi les soupçons suffisants quant à ce dernier chef d'imputation. Enfin, s'agissant des dénégations de la re- courante, il sied de souligner qu'elles n'apparaissent pas suffisamment convaincantes pour contraster la force probante des éléments recueillis à ce jour. Il est ici le lieu de rappeler qu’il n’appartient pas au juge de la dé- tention de procéder à une pesée complète des éléments à charge et à dé- charge et d’apprécier la crédibilité des personnes qui mettent en cause le prévenu, la valeur probante des différentes déclarations étant laissée à l’appréciation du juge du fond (arrêt du Tribunal fédéral 1B_131/2008 du 9 juin 2008, consid. 3.2 in fine). En conclusion et à toutes fins utiles, il est re- levé que le MPC ne fournit aucune indication quant aux faits fondant les préventions de financement du terrorisme et soutien, respectivement, parti- cipation à une organisation criminelle. Cette absence d'argumentation n'in- fluence néanmoins pas la présente procédure dans la mesure où les indi- ces à l'égard de la violation grave à la loi sur les stupéfiants et du blanchi- ment d'argent apparaissent en l'état suffisants pour fonder l'existence des forts soupçons justifiant le maintien en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