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BH.2012.4 vom 2. Mai 2012</w:t>
      </w:r>
    </w:p>
    <w:p>
      <w:r>
        <w:t>Bundesstrafgericht, 2012-05-02, IT</w:t>
      </w:r>
    </w:p>
    <w:p>
      <w:r>
        <w:rPr>
          <w:b/>
        </w:rPr>
        <w:t xml:space="preserve">Quelle: </w:t>
      </w:r>
      <w:r>
        <w:t>https://mcp.opencaselaw.ch/entscheid/bstger_BH.2012.4</w:t>
      </w:r>
    </w:p>
    <w:p>
      <w:r>
        <w:t>FR: TPF BH.2012.4 du 2 mai 2012</w:t>
      </w:r>
    </w:p>
    <w:p>
      <w:r>
        <w:t>IT: TPF BH.2012.4 del 2 maggio 2012</w:t>
      </w:r>
    </w:p>
    <w:p>
      <w:pPr>
        <w:pStyle w:val="Heading2"/>
      </w:pPr>
      <w:r>
        <w:t>Regeste</w:t>
      </w:r>
    </w:p>
    <w:p>
      <w:r>
        <w:t>Esecuzione anticipata di pene e misure (art. 236 CPP). Ordine di trasferimento.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divenuto privo d'oggetto e la causa è stralciata dal ruolo.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Il Ministero pubblico della Confederazione verserà al reclamante un importo di fr. 1'000.- a titolo di spese ripetibili.</w:t>
      </w:r>
    </w:p>
    <w:p>
      <w:r>
        <w:t>Bellinzona, 3 maggio 2012</w:t>
      </w:r>
    </w:p>
    <w:p>
      <w:r>
        <w:t>In nome della Corte dei reclami penali del Tribunale penale federale</w:t>
      </w:r>
    </w:p>
    <w:p>
      <w:r>
        <w:t>Il giudice presidente: Il cancelliere:</w:t>
      </w:r>
    </w:p>
    <w:p>
      <w:r>
        <w:t>Comunicazione a: - Avv. Luca Marcellini - Ministero pubblico della Confederazione</w:t>
      </w:r>
    </w:p>
    <w:p>
      <w:r>
        <w:t>Informazione sui rimedi giuridici Le decisioni della Corte dei reclami penali concernenti misure coercitive sono impugnabili entro 30 giorni dalla notifica mediante ricorso al Tribunale federale (artt. 79 e 100 cpv. 1 della legge federale del 17 giugno 2005 sul Tribunale federale; LTF). La procedura è retta dagli art. 90 ss LTF. Il ricorso non sospende l’esecuzione della decisione impugnata se non nel caso in cui il giudice dell’istruzione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