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BH.2009.9 vom 8. Juni 2009</w:t>
      </w:r>
    </w:p>
    <w:p>
      <w:r>
        <w:t>Bundesstrafgericht, 2009-06-08, DE</w:t>
      </w:r>
    </w:p>
    <w:p>
      <w:r>
        <w:rPr>
          <w:b/>
        </w:rPr>
        <w:t xml:space="preserve">Quelle: </w:t>
      </w:r>
      <w:r>
        <w:t>https://mcp.opencaselaw.ch/entscheid/bstger_BH.2009.9</w:t>
      </w:r>
    </w:p>
    <w:p>
      <w:r>
        <w:t>FR: TPF BH.2009.9 du 8 juin 2009</w:t>
      </w:r>
    </w:p>
    <w:p>
      <w:r>
        <w:t>IT: TPF BH.2009.9 del 8 giugno 2009</w:t>
      </w:r>
    </w:p>
    <w:p>
      <w:pPr>
        <w:pStyle w:val="Heading2"/>
      </w:pPr>
      <w:r>
        <w:t>Regeste</w:t>
      </w:r>
    </w:p>
    <w:p>
      <w:r>
        <w:t>Vorläufige Festnahme (Art. 51 VStrR); Verhaftung (Art. 52 f. VStrR)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Mai 2009 seine Beschwerde zurückzog bzw. von dieser Abstand nahm (act. 4);</w:t>
      </w:r>
    </w:p>
    <w:p>
      <w:r>
        <w:t>- der Abstand einer Partei gemäss Art. 30 SGG i.V.m. Art. 25 Abs. 4 VStrR i.V.m. Art. 62 ff. BGG i.V.m. Art. 73 Abs. 1 BZP den Rechtsstreit sofort be- endet (vgl. Entscheid des Bundesstrafgerichts BB.2006.13 vom 10. April 2006 m.w.H.);</w:t>
      </w:r>
    </w:p>
    <w:p>
      <w:r>
        <w:t>- das Verfahren somit zufolge Abstands abgeschrieben werden kann, wobei die den Abstand erklärende Partei als unterliegende Partei im Sinne des Art. 25 Abs. 4 VStrR i.V.m. Art. 66 Abs. 1 BGG gilt;</w:t>
      </w:r>
    </w:p>
    <w:p>
      <w:r>
        <w:t>- bei diesem Ausgang des Verfahrens der Beschwerdeführer die Gerichts- kosten zu tragen hat (Art. 25 Abs. 4 VStrR i.V.m. Art. 66 Abs. 1 BGG), wo- bei die Gerichtsgebühr vorliegend auf Fr. 200.-- festgesetzt wird (Art. 3 des Reglements vom 11. Februar 2004 über die Gerichtsgebühren vor dem Bundesstrafgericht; SR 173.711.32);</w:t>
      </w:r>
    </w:p>
    <w:p>
      <w:r>
        <w:t>- 3 -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