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BH.2008.21 vom 7. April 2009</w:t>
      </w:r>
    </w:p>
    <w:p>
      <w:r>
        <w:t>Bundesstrafgericht, 2009-04-07, FR</w:t>
      </w:r>
    </w:p>
    <w:p>
      <w:r>
        <w:rPr>
          <w:b/>
        </w:rPr>
        <w:t xml:space="preserve">Quelle: </w:t>
      </w:r>
      <w:r>
        <w:t>https://mcp.opencaselaw.ch/entscheid/bstger_BH.2008.21</w:t>
      </w:r>
    </w:p>
    <w:p>
      <w:r>
        <w:t>FR: TPF BH.2008.21 du 7 avril 2009</w:t>
      </w:r>
    </w:p>
    <w:p>
      <w:r>
        <w:t>IT: TPF BH.2008.21 del 7 aprile 2009</w:t>
      </w:r>
    </w:p>
    <w:p>
      <w:pPr>
        <w:pStyle w:val="Heading2"/>
      </w:pPr>
      <w:r>
        <w:t>Regeste</w:t>
      </w:r>
    </w:p>
    <w:p>
      <w:r>
        <w:t>Caution (art. 53 PPF), disjonction de la procédure (art. 105bis al. 2 PPF), accès au dossier (art. 116 PPF)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la suite du retrait de la plainte, la procédure est rayée du rôle.</w:t>
      </w:r>
    </w:p>
    <w:p>
      <w:r>
        <w:rPr>
          <w:b/>
        </w:rPr>
        <w:t>E. 2</w:t>
      </w:r>
    </w:p>
    <w:p>
      <w:r>
        <w:t>Un émolument de Fr. 200.-- est mis à la charge du plaignant.</w:t>
      </w:r>
    </w:p>
    <w:p>
      <w:r>
        <w:t>Bellinzone, le 7 avril 2009</w:t>
      </w:r>
    </w:p>
    <w:p>
      <w:r>
        <w:t>Au nom de la Ire Cour des plaintes du Tribunal pénal fédéral</w:t>
      </w:r>
    </w:p>
    <w:p>
      <w:r>
        <w:t>Le président:</w:t>
      </w:r>
    </w:p>
    <w:p>
      <w:r>
        <w:t>La greffière:</w:t>
      </w:r>
    </w:p>
    <w:p>
      <w:r>
        <w:t>Distribution</w:t>
      </w:r>
    </w:p>
    <w:p>
      <w:r>
        <w:t>- Me Antoine Eigenmann, avocat - Ministère public de la Confédération</w:t>
      </w:r>
    </w:p>
    <w:p>
      <w:r>
        <w:t>Indication des voies de recours Dans les 30 jours qui suivent leur notification, les arrêts de la Ire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