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BH.2006.15 vom 22. Juni 2006</w:t>
      </w:r>
    </w:p>
    <w:p>
      <w:r>
        <w:t>Bundesstrafgericht, 2006-06-22, FR</w:t>
      </w:r>
    </w:p>
    <w:p>
      <w:r>
        <w:rPr>
          <w:b/>
        </w:rPr>
        <w:t xml:space="preserve">Quelle: </w:t>
      </w:r>
      <w:r>
        <w:t>https://mcp.opencaselaw.ch/entscheid/bstger_BH.2006.15</w:t>
      </w:r>
    </w:p>
    <w:p>
      <w:r>
        <w:t>FR: TPF BH.2006.15 du 22 juin 2006</w:t>
      </w:r>
    </w:p>
    <w:p>
      <w:r>
        <w:t>IT: TPF BH.2006.15 del 22 giugno 2006</w:t>
      </w:r>
    </w:p>
    <w:p>
      <w:pPr>
        <w:pStyle w:val="Heading2"/>
      </w:pPr>
      <w:r>
        <w:t>Regeste</w:t>
      </w:r>
    </w:p>
    <w:p>
      <w:r>
        <w:t>Confirmation de la détention (art. 47 al. 2 PPF)</w:t>
      </w:r>
    </w:p>
    <w:p>
      <w:pPr>
        <w:pStyle w:val="Heading2"/>
      </w:pPr>
      <w:r>
        <w:t>Erwägungen</w:t>
      </w:r>
    </w:p>
    <w:p>
      <w:r>
        <w:rPr>
          <w:b/>
        </w:rPr>
        <w:t>E. 1.1</w:t>
      </w:r>
    </w:p>
    <w:p>
      <w:r>
        <w:t>Les opérations et les omissions du juge d'instruction peuvent faire l’objet d’une plainte, respectivement d’un recours à la Cour des plaintes (art. 214 à 219 PPF; 28 al. 1 let. a LTPF).</w:t>
      </w:r>
    </w:p>
    <w:p>
      <w:r>
        <w:rPr>
          <w:b/>
        </w:rPr>
        <w:t>E. 1.2</w:t>
      </w:r>
    </w:p>
    <w:p>
      <w:r>
        <w:t>Le délai pour le dépôt du recours est de cinq jours à compter de celui où le recourant a eu connaissance de l’opération (art. 217 PPF). En l'espèce, le recours, daté du 14 mai 2006, a été remis au MPC par les services de la Prison H. à I. Le MPC déclare ne l’avoir reçu que le 24 mai 2006. Contacté, le préposé de la prison a déclaré que, en règle générale, les courriers des détenus ne sont transmis au MPC que par envois groupés et que, faute de registre ou de timbre ad hoc, il n’y a aucun moyen de savoir à quelle date le recours leur a été remis. L’inculpé devant bénéficier de cette incertitude, son recours sera considéré comme ayant été déposé en temps utile.</w:t>
      </w:r>
    </w:p>
    <w:p>
      <w:r>
        <w:rPr>
          <w:b/>
        </w:rPr>
        <w:t>E. 1.3</w:t>
      </w:r>
    </w:p>
    <w:p>
      <w:r>
        <w:t>Les conclusions subsidiaires formulées par le recourant dans sa réplique du 19 juin 2006 s’agissant de la mise à disposition du dossier complet, res- pectivement des écoutes téléphoniques et des procès-verbaux d’audition de G., n’ont pas fait l’objet de la décision attaquée. Elles sont donc irrece- vables (TPF BB.2006.21 du 24 avril 2006).</w:t>
      </w:r>
    </w:p>
    <w:p>
      <w:r>
        <w:rPr>
          <w:b/>
        </w:rPr>
        <w:t>E. 2</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(arrêts du Tribunal fédéral 1S.3/2004 et 1S.4/2004 du 13 août</w:t>
      </w:r>
    </w:p>
    <w:p>
      <w:r>
        <w:t>- 4 -</w:t>
      </w:r>
    </w:p>
    <w:p>
      <w:r>
        <w:t>2004 consid. 3.1).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vraisemblable après l’accomplissement de tous les actes d’instruction envi- sageables (ATF 116 Ia 143, 146 consid. 3c; arrêts du Tribunal fédéral 1S.3/2004 et 1S.4/2004 du 13 août 2004 ibidem). En l'occurrence, l'en- quête contre le recourant a commencé le 9 décembre 2005. A ce stade, si on ne peut se contenter de vagues indices, on ne saurait non plus exiger des preuves définitives (arrêt du Tribunal fédéral 1S.3/2004 1S.4/2004 du 13 août 2004 consid. 3.2).</w:t>
      </w:r>
    </w:p>
    <w:p>
      <w:r>
        <w:rPr>
          <w:b/>
        </w:rPr>
        <w:t>E. 2.1</w:t>
      </w:r>
    </w:p>
    <w:p>
      <w:r>
        <w:t>Dans le cadre d’une opération de police menée par la brigade des stupé- fiants de la police cantonale vaudoise (opération SEB – PE05.033913- PKE), il est apparu qu’un ressortissant africain inconnu se livrait au blan- chiment du produit de la vente de cocaïne à grande échelle. L’enquête des autorités pénales cantonales a permis d’identifier cet inconnu comme étant le recourant, détenteur du numéro portable XX. D’un contrôle rétroactif des appels effectués de et sur ce raccordement il est ressorti que plus de 13'000 connexions téléphoniques ont été établies sur ce numéro, avec plus de 700 correspondants différents, durant le seul deuxième semestre de l’année 2005. Un grand nombre de ces correspondants était connu des services de police, notamment pour des affaires de drogue (act. 3.3 rubri- ques 1 à 7). Les enquêteurs fédéraux, après avoir repris les éléments d’enquête des autorités cantonales et analysé les conversations téléphoniques du recou- rant, soupçonnent désormais ce dernier de récolter de l’argent dans toute la Suisse romande et le canton de Berne, directement ou par l’intermédiaire de complices, auprès de nombreux requérants d’asile d’origine africaine, et de transférer cet argent en France voisine chez des complices. Depuis la France, des envois réguliers seraient ensuite organisés à destination de la Guinée, l’argent étant le plus souvent caché dans les bagages de voya- geurs se déplaçant en avion. Les soupçons à l’encontre de l’inculpé sem- blent avoir trouvé une première confirmation dans la mesure où les autori- tés suisses auraient, sur la base des surveillances téléphoniques mises en place, informé les autorités françaises de l’imminence de probables envois d’argent vers la Guinée via la France, ce qui, selon le rapport du 8 mai 2006 de la PJF, aurait permis l’interpellation à l’aéroport de Roissy de deux personnes, très vraisemblablement proches du réseau du recourant, qui s’apprêtaient à transporter en Guinée plusieurs centaines de milliers de francs (act. 3.3 rubriques 8 et 10).</w:t>
      </w:r>
    </w:p>
    <w:p>
      <w:r>
        <w:t>- 5 -</w:t>
      </w:r>
    </w:p>
    <w:p>
      <w:r>
        <w:t>En outre, le fait que le plaignant agisse avec plusieurs complices dans le cadre d’une structure dotée d’une certaine organisation et capable de ré- colter et transférer rapidement des capitaux importants permet, à ce stade précoce de l’enquête, de fonder aussi le soupçon de soutien et/ou partici- pation à une organisation criminelle au sens de l’art. 260ter CP. En l’état actuel du dossier, les présomptions de culpabilité de blanchiment d’argent et de soutien et/ou participation à une organisation criminelle sont donc suffisantes pour justifier le maintien en détention de l’inculpé.</w:t>
      </w:r>
    </w:p>
    <w:p>
      <w:r>
        <w:rPr>
          <w:b/>
        </w:rPr>
        <w:t>E. 2.2</w:t>
      </w:r>
    </w:p>
    <w:p>
      <w:r>
        <w:t>L’enquête n’en est qu’à ses débuts, il ressort en effet du dossier que de nombreuses auditions sont actuellement en cours et que plusieurs compli- ces du plaignant n’ont pas encore interpellés. Il importe que les investigati- ons se poursuivent sans que le recourant ne puisse harmoniser sa version des faits avec d'autres personnes impliquées, en Suisse comme à l'étran- ger. Le risque de collusion est donc en l’espèce particulièrement élevé.</w:t>
      </w:r>
    </w:p>
    <w:p>
      <w:r>
        <w:rPr>
          <w:b/>
        </w:rPr>
        <w:t>E. 2.3</w:t>
      </w:r>
    </w:p>
    <w:p>
      <w:r>
        <w:t>Le risque de fuite est en l'occurrence indéniable. Le recourant, sans atta- ches particulières avec notre pays, réside illégalement en Suisse depuis plusieurs années et est au bénéfice d’une autorisation de séjour en France, pays ou résident sa femme et ses enfants. Ces éléments ainsi que la pers- pective d'une condamnation à une longue peine d'emprisonnement pour- raient, s'il était libéré, l'inciter à prendre la fuite pour se soustraire à la pour- suite pénale.</w:t>
      </w:r>
    </w:p>
    <w:p>
      <w:r>
        <w:rPr>
          <w:b/>
        </w:rPr>
        <w:t>E. 3</w:t>
      </w:r>
    </w:p>
    <w:p>
      <w:r>
        <w:t>La détention préventive est ainsi justifiée par l'existence de charges suffi- santes, le risque de fuite et le danger de collusion. La durée de la détention n'est en l'état pas disproportionnée au regard de la peine qui attend l'inté- ressé si les faits qui lui sont reprochés se confirment.</w:t>
      </w:r>
    </w:p>
    <w:p>
      <w:r>
        <w:rPr>
          <w:b/>
        </w:rPr>
        <w:t>E. 4</w:t>
      </w:r>
    </w:p>
    <w:p>
      <w:r>
        <w:t>Le recours est mal fondé et doit être rejeté.</w:t>
      </w:r>
    </w:p>
    <w:p>
      <w:r>
        <w:rPr>
          <w:b/>
        </w:rPr>
        <w:t>E. 5</w:t>
      </w:r>
    </w:p>
    <w:p>
      <w:r>
        <w:t>Le recourant ayant succombé, il supportera les frais de la cause (art. 156 OJ applicable par renvoi de l'art. 245 PPF), lesquels, selon l'art. 3 du rè- glement du 11 février 2004 fixant les émoluments judiciaires perçus par le Tribunal pénal fédéral (RS 173.711.32), seront fixés à Fr.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