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BH.2005.45 vom 20. Dezember 2005</w:t>
      </w:r>
    </w:p>
    <w:p>
      <w:r>
        <w:t>Bundesstrafgericht, 2005-12-20, DE</w:t>
      </w:r>
    </w:p>
    <w:p>
      <w:r>
        <w:rPr>
          <w:b/>
        </w:rPr>
        <w:t xml:space="preserve">Quelle: </w:t>
      </w:r>
      <w:r>
        <w:t>https://mcp.opencaselaw.ch/entscheid/bstger_BH.2005.45</w:t>
      </w:r>
    </w:p>
    <w:p>
      <w:r>
        <w:t>FR: TPF BH.2005.45 du 20 décembre 2005</w:t>
      </w:r>
    </w:p>
    <w:p>
      <w:r>
        <w:t>IT: TPF BH.2005.45 del 20 dicembre 2005</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dem Kosovo bzw. der UNMIK ist primär das Euro- päische Auslieferungsübereinkommen vom 13. Dezember 1957 (EAÜ; SR 0.353.1) massgebend (Entscheid des Bundesstrafgerichts BH.2005.39 vom 25. November 2005 E. 2). Wo das Übereinkommen nichts anderes bestimmt, findet auf das Verfahren der Auslieferung und der vorläufigen Auslieferungshaft ausschliesslich das Recht des ersuchten Staates An- 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t>- 4 -</w:t>
      </w:r>
    </w:p>
    <w:p>
      <w:r>
        <w:rPr>
          <w:b/>
        </w:rPr>
        <w:t>E. 2.2.1</w:t>
      </w:r>
    </w:p>
    <w:p>
      <w:r>
        <w:t>Der Beschwerdeführer trägt zunächst vor, dass die Auslieferung in der vor- liegenden Form nicht zulässig sei. Gemäss zugestelltem Gesetzestext dro- he ihm – da eine Familienfehde vorliege – gar die Todesstrafe. Ein Aus- schluss derselben sei bis anhin nicht zugesichert worden. Ausserdem habe er kein faires Verfahren zu erwarten, was sich aus dem Schreiben seines Rechtsanwaltes im Kosovo ergebe. Angesichts dieser Unzulässigkeit ent- falle auch die Zulässigkeit der Haftanordnung (act. 1, S. 2). In der Replik hält der Beschwerdeführer sodann dafür, dass lediglich Angehörige der Familie des Geschädigten befragt worden seien, obwohl viele weitere po- tentielle Zeugen anwesend gewesen seien. Es drohe ihm deshalb offen- sichtlich ein nicht EMRK-konformes Verfahren, so dass eine Auslieferung auch in dieser Hinsicht unzulässig sei (act. 4, S. 2).</w:t>
      </w:r>
    </w:p>
    <w:p>
      <w:r>
        <w:t>Die Rügen des Beschwerdeführers sind offenkundig unbegründet. Vorweg kann in Bezug auf die angeblich drohende Todesstrafe auf die Mitteilung der UNMIK vom 8. Dezember 2005 verwiesen werden (act. 40 [Dossier B 162 495]). Daraus geht hervor, dass die Todesstrafe mit dem Inkrafttreten der mittels UNMIK Regulation No. 2000/59 vom 27. Oktober 2000 ergänz- ten UNMIK Regulation No. 1999/24 vom 12. Dezember 1999 über das im Kosovo anwendbare Recht formell abgeschafft wurde. Zum Schreiben des Rechtsanwaltes des Beschwerdeführers im Kosovo vom 30. Novem- ber 2005 ist sodann zu bemerken, dass darin zwar die Gefährdung von Leib und Leben des Beschwerdeführers bzw. dessen Familie durch Ange- hörige der angeblich verfeindeten Familie B. behauptet wird. Anhaltspunkte für die Behauptung, der Beschwerdeführer habe im Kosovo kein faires Ver- fahren zu erwarten, gehen daraus nicht hervor. Ebenso wenig lässt die Tatsache, dass im laufenden Verfahren scheinbar zunächst lediglich Ange- hörige der Familie des Geschädigten zum Tathergang befragt worden sind, mangels weiterer Indizien einen derartigen Schluss zu. Von einer offen- sichtlichen Unzulässigkeit der Auslieferung kann somit nicht gesprochen werden. Die Prüfung derartiger Einwände bleibt im Übrigen dem Ausliefe- rungsverfahren vorbehalten.</w:t>
      </w:r>
    </w:p>
    <w:p>
      <w:r>
        <w:rPr>
          <w:b/>
        </w:rPr>
        <w:t>E. 2.2.2</w:t>
      </w:r>
    </w:p>
    <w:p>
      <w:r>
        <w:t>Sodann macht der Beschwerdeführer geltend, dass keine Fluchtgefahr be- stehe, da er sich aktenkundigerweise sofort den Schweizer Behörden zur Verfügung gestellt habe, als er davon erfahren habe, dass er gesucht wer- de. Im Übrigen habe er hier ebenso aktenkundigerweise Frau und Kinder und weitere Verwandte. Die Gefahr des Untertauchens sei damit gebannt. Infolge dieses Umstandes entfalle auch die Notwendigkeit der Haftanord- nung. Es könnten allenfalls mildere Ersatzmassnahmen angeordnet wer- den (act. 1, S. 2 f.).</w:t>
      </w:r>
    </w:p>
    <w:p>
      <w:r>
        <w:t>- 5 -</w:t>
      </w:r>
    </w:p>
    <w:p>
      <w:r>
        <w:t>Dem kann nicht gefolgt werden. Zunächst kann bezüglich des Einwands, der Beschwerdeführer habe sich den Behörden sofort zur Verfügung ge- stellt, mit der Beschwerdegegnerin festgehalten werden, dass der Be- schwerdeführer wohl erst nach seiner – für ihn mutmasslich überraschen- den – Verhaftung in der Schweiz Kenntnis davon erlangt hat, dass nach ihm international gefahndet wird. Das wurde von ihm in der Replik denn auch nicht bestritten. Inwiefern hieraus auf eine fehlende Fluchtgefahr ge- schlossen werden könnte, ist nicht nachvollziehbar.</w:t>
      </w:r>
    </w:p>
    <w:p>
      <w:r>
        <w:t>Sodann ist darauf hinzuweisen, dass die Rechtsprechung des Bundesge- richts auch hinsichtlich der Verneinung von Fluchtgefahr zufolge familiärer Bindungen überaus restriktiv ist und gerade bei drohenden, hohen Frei- heitsstrafen eine ausnahmsweise Haftentlassung abgelehnt wird. So wurde die Möglichkeit einer Verurteilung zu einer langen Freiheitsstrafe beispiels- weise in einem Urteil vom 15. August 2001 als ausreichend zur Verweige- 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 onalität besassen und im Kanton Tessin eingeschult waren (Urteil des Bundesgerichts 8G.45/2001 vom 15. August 2001 E. 3a). Vorliegend dürfte der Beschwerdeführer bei einer Verurteilung ebenfalls eine langjährige Freiheitsstrafe zu gewärtigen haben. An der vor diesem Hintergrund zu be- jahenden Fluchtgefahr vermag im Sinne der vorstehenden Rechtsprechung nichts zu ändern, dass die Ehefrau des Beschwerdeführers, dessen zwei Kinder im Alter von 7½ und 2½ Jahren sowie weitere Verwandte in der Schweiz leben.</w:t>
      </w:r>
    </w:p>
    <w:p>
      <w:r>
        <w:t>Schliesslich ist zu berücksichtigen, dass der Beschwerdeführer mit 32 Jah- ren noch relativ jung ist, was ebenfalls eher für denn wider eine Flucht spricht (zum Alter als Kriterium bei der Beurteilung der Fluchtgefahr vgl. das Urteil des Bundesgerichts 8G.49/2002 vom 24. Mai 2002 E. 3b; vgl. auch den Entscheid des Bundesstrafgerichts BH.2005.8 vom 7. April 2005 E. 2.3). Es fällt denn auch auf, dass das Bundesgericht die Haftentlassung insbesondere bei Verfolgten höheren Alters gewährt hat; so war einer der Auszulieferenden 65 Jahre (Urteil des Bundesgerichts 8G.66/2000 vom</w:t>
      </w:r>
    </w:p>
    <w:p>
      <w:r>
        <w:rPr>
          <w:b/>
        </w:rPr>
        <w:t>E. 2.2.3</w:t>
      </w:r>
    </w:p>
    <w:p>
      <w:r>
        <w:t>Abschliessend hält der Beschwerdeführer dafür, dass er in ärztlicher Betreuung stehe. Er habe regelmässig auf ärztliche Anordnung hin eine Physiotherapie besucht. Diese werde ihm durch die Haftanordnung ver- wehrt. Die Haftanordnung sei deshalb auch unzumutbar (act. 1, S. 3).</w:t>
      </w:r>
    </w:p>
    <w:p>
      <w:r>
        <w:t>Wie aus den Aussagen des Beschwerdeführers anlässlich seiner Einver- nahme vom 22. November 2005 (act. 15 [Dossier B 162 495]) hervorgeht, unterzieht er sich zwei- bis dreimal im Monat einer Physiotherapie. Die Frage, ob er sich gesund fühle, verneinte er zwar, erklärte aber, im Moment keinen Arzt zu benötigen. Es kann damit nicht die Rede davon sein (und wurde auch nicht ausdrücklich behauptet), der Beschwerdeführer sei nicht hafterstehungsfähig im Sinne vom Art. 47 Abs. 2 IRSG. Ebenso wenig kann davon gesprochen werden, die Auslieferungshaft sei aufgrund der fehlen- den Möglichkeit zum weiteren Besuch der Physiotherapie unzumutbar, zu- mal sich der Beschwerdeführer jederzeit an den zuständigen Gefängnisarzt wenden kann und die nötige medizinische Betreuung, wie die Beschwerde- gegnerin zu Recht bemerkt (act. 3, S. 4), demgemäss auch im Rahmen der Auslieferungshaft stets gewährleistet ist.</w:t>
      </w:r>
    </w:p>
    <w:p>
      <w:r>
        <w:rPr>
          <w:b/>
        </w:rPr>
        <w:t>E. 2.3</w:t>
      </w:r>
    </w:p>
    <w:p>
      <w:r>
        <w:t>Zusammenfassend erweist sich die Beschwerde als offensichtlich unbe- gründet. Damit ist gleichsam auch deren Aussichtslosigkeit erstellt, was die Abweisung des Gesuchs um unentgeltliche Rechtspflege gemäss Art. 48 Abs. 2 IRSG i.V.m. Art. 214 ff. und Art. 245 BStP i.V.m. Art. 152 Abs. 1 und 2 OG zur Folge hat. Dieses könnte im Übrigen auch zufolge der unvoll- ständigen, aktenmässigen Hinterlegung nicht gutgeheissen werden.</w:t>
      </w:r>
    </w:p>
    <w:p>
      <w:r>
        <w:t>3. Bei diesem Ausgang des Verfahrens hat der Beschwerdeführer die Kosten zu tragen (Art. 48 Abs. 2 IRSG i.V.m. Art. 214 ff. sowie Art. 245 BStP und Art. 156 Abs. 1 OG). Es ist eine Gerichtsgebühr von Fr. 1’500.-- anzuset- zen (Art. 3 des Reglements vom 11. Februar 2004 über die Gerichtsgebüh- ren vor dem Bundesstrafgericht; SR 173.711.32).</w:t>
      </w:r>
    </w:p>
    <w:p>
      <w:r>
        <w:t>- 7 -</w:t>
      </w:r>
    </w:p>
    <w:p>
      <w:r>
        <w:rPr>
          <w:b/>
        </w:rPr>
        <w:t>E. 5</w:t>
      </w:r>
    </w:p>
    <w:p>
      <w:r>
        <w:t>Dezember 2000 E. 9c, was ihn freilich nicht an der späteren Flucht hin- derte), der andere 68 Jahre alt (Urteil des Bundesgerichts G.55/1993 vom 22. Oktober 1993).</w:t>
      </w:r>
    </w:p>
    <w:p>
      <w:r>
        <w:t>Insgesamt ergibt sich, dass die Fluchtgefahr mit Blick auf die zitierte Recht- sprechung offensichtlich zu bejahen ist. Inwiefern diese durch Ersatzmass-</w:t>
      </w:r>
    </w:p>
    <w:p>
      <w:r>
        <w:t>- 6 -</w:t>
      </w:r>
    </w:p>
    <w:p>
      <w:r>
        <w:t>nahmen gebannt werden könnte, ist nicht einzusehen und wurde vom Be- schwerdeführer denn auch nicht weiter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