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BH.2005.39 vom 25. November 2005</w:t>
      </w:r>
    </w:p>
    <w:p>
      <w:r>
        <w:t>Bundesstrafgericht, 2005-11-25, FR</w:t>
      </w:r>
    </w:p>
    <w:p>
      <w:r>
        <w:rPr>
          <w:b/>
        </w:rPr>
        <w:t xml:space="preserve">Quelle: </w:t>
      </w:r>
      <w:r>
        <w:t>https://mcp.opencaselaw.ch/entscheid/bstger_BH.2005.39</w:t>
      </w:r>
    </w:p>
    <w:p>
      <w:r>
        <w:t>FR: TPF BH.2005.39 du 25 novembre 2005</w:t>
      </w:r>
    </w:p>
    <w:p>
      <w:r>
        <w:t>IT: TPF BH.2005.39 del 25 novembre 2005</w:t>
      </w:r>
    </w:p>
    <w:p>
      <w:pPr>
        <w:pStyle w:val="Heading2"/>
      </w:pPr>
      <w:r>
        <w:t>Regeste</w:t>
      </w:r>
    </w:p>
    <w:p>
      <w:r>
        <w:t>Recours contre un mandat d'arrêt en vue d'extradition (art. 48 al. 2 EIMP)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des plaintes examine librement la recevabilité des recours qui lui sont adressés (ATF 122 IV 188 consid. 1 et arrêts cités). Déposé le 31 oc- tobre 2005 contre un mandat d’arrêt aux fins d'extradition notifié le 28 fé- vrier 2005, le recours intervient dans le délai de dix jours prescrit par l’art. 48 al. 2 EIMP. Il est recevable en la forme.</w:t>
      </w:r>
    </w:p>
    <w:p>
      <w:r>
        <w:rPr>
          <w:b/>
        </w:rPr>
        <w:t>E. 2</w:t>
      </w:r>
    </w:p>
    <w:p>
      <w:r>
        <w:t>La Convention européenne d’extradition du 13 décembre 1957 (ci-après: la Convention; RS 0.353.1) s'applique prioritairement aux procédures d'extra- ditions et d'arrestations provisoires entre la Suisse et le Kosovo. Sauf dis- position contraire de la Convention, la loi de la partie requise est la seule applicable à ces procédures (art. 22 de la Convention), à savoir en l'espèce la loi fédérale du 20 mars 1981 sur l’entraide internationale en matière pé- nale (loi sur l’entraide pénale internationale (EIMP; RS 351.1) et son or- donnance d'application (OEIMP; RS 351.11).</w:t>
      </w:r>
    </w:p>
    <w:p>
      <w:r>
        <w:rPr>
          <w:b/>
        </w:rPr>
        <w:t>E. 3</w:t>
      </w:r>
    </w:p>
    <w:p>
      <w:r>
        <w:t>Saisie d’un recours fondé sur l’art. 48 al. 2 EIMP, la Cour des plaintes ne dispose que d’un pouvoir de cognition limité dans la mesure où il ne lui ap- partient pas de se prononcer sur le bien-fondé de la demande d’extradition, mais seulement d’examiner la légalité de l’arrestation et si la détention aux fins d’extradition se justifie (ATF 111 IV 108 consid. 3; MOREILLON, Com- mentaire romand, Entraide internationale en matière pénale, Bâle 2004, n° 19 ad art. 47 EIMP). Selon une jurisprudence constante, rappelée récem- ment par le Tribunal fédéral et reprise par la Cour des plaintes du Tribunal pénal fédéral, la détention est la règle, tandis que la mise en liberté de- meure l’exception, la mise en liberté provisoire étant au demeurant sou- mise à des exigences plus strictes en matière de détention extraditionnelle que de détention préventive (ATF 130 II 306 consid. 2.2; 111 IV 108 consid. 2; 109 Ib 223 consid. 2c; arrêt du Tribunal pénal fédéral BK_H</w:t>
      </w:r>
    </w:p>
    <w:p>
      <w:r>
        <w:t>- 4 -</w:t>
      </w:r>
    </w:p>
    <w:p>
      <w:r>
        <w:t>099/04 du 9 août 2004). Aux termes des art. 47 ss EIMP, il peut notamment être renoncé à la détention s’il apparaît que la personne poursuivie ne se soustraira pas à l’extradition et n’entravera pas l’instruction, si elle a un ali- bi, si elle ne peut pas subir l’incarcération, si la demande d’extradition et ses annexes ne sont pas fournies à temps ou si l’extradition est manifes- tement inadmissible (ATF 117 IV 359 consid. 2).</w:t>
      </w:r>
    </w:p>
    <w:p>
      <w:r>
        <w:rPr>
          <w:b/>
        </w:rPr>
        <w:t>E. 3.1</w:t>
      </w:r>
    </w:p>
    <w:p>
      <w:r>
        <w:t>En l’espèce, la cour de céans constate que le recourant ne conteste pas la détention en tant que telle, mais vise à l’annulation de l’extradition vers le Kosovo et à la levée du séquestre touchant les objets qui lui appartiennent. Etant donné que la Cour des plaintes n’est pas compétente pour juger du bien-fondé de la demande d’extradition (v. consid. 2), le recours doit être déclaré irrecevable.</w:t>
      </w:r>
    </w:p>
    <w:p>
      <w:r>
        <w:rPr>
          <w:b/>
        </w:rPr>
        <w:t>E. 3.2</w:t>
      </w:r>
    </w:p>
    <w:p>
      <w:r>
        <w:t>Il y a lieu de relever que, même si le recourant avait contesté son arresta- tion, aucune des exceptions prévues aux art. 47 ss EIMP ne serait réalisée en l’espèce. Domicilié à Y., au Kosovo, où se trouvent également ses pa- rents, le recourant n’a aucun lien avec la Suisse. La peine sévère qui l’attend en cas de condamnation est de nature à l’inciter à se soustraire à l’extradition. Le risque de fuite est donc manifeste. En ce qui concerne l’alibi, le recourant a admis totalement les faits qui lui sont reprochés. Quant aux autres exceptions indiquées aux art. 47 ss EIMP, elles ne sont à l’évidence pas réalisées. Aux termes des art. 50 al. 3 et 51 al. 1 EIMP, la détention, qui a pour but premier de s’assurer que l’intéressé sera effecti- vement remis à l’Etat requérant (ZIMMERMANN, La coopération judiciaire in- ternationale en matière pénale, 2ème éd., Berne 2004, n° 289) est mainte- nue de plein droit pendant toute la procédure d’extradition et ne peut pren- dre fin qu’exceptionnellement. La réglementation prévue doit en effet per- mettre à la Suisse de respecter ses obligations en matière d’extradition dé- coulant des traités internationaux (MOREILLON, op. cit., no 17 et référence citée ad art. 47 EIMP). Le recours, même s’il était recevable, devrait donc être rejeté.</w:t>
      </w:r>
    </w:p>
    <w:p>
      <w:r>
        <w:rPr>
          <w:b/>
        </w:rPr>
        <w:t>E. 4</w:t>
      </w:r>
    </w:p>
    <w:p>
      <w:r>
        <w:t>Selon l’art. 156 al. 1 OJ, applicable par renvoi de l’art. 245 PPF, la partie qui succombe est tenue au paiement des frais. Ceux-ci se limitent en l’espèce à un émolument qui, en application de l’art. 3 du règlement du 11 février 2004, fixant les émoluments judiciaires perçus par le Tribunal pénal fédéral (RS 173.711.32), sera fixé à fr. 800.--.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