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BH.2005.16 vom 10. August 2005</w:t>
      </w:r>
    </w:p>
    <w:p>
      <w:r>
        <w:t>Bundesstrafgericht, 2005-08-10, DE</w:t>
      </w:r>
    </w:p>
    <w:p>
      <w:r>
        <w:rPr>
          <w:b/>
        </w:rPr>
        <w:t xml:space="preserve">Quelle: </w:t>
      </w:r>
      <w:r>
        <w:t>https://mcp.opencaselaw.ch/entscheid/bstger_BH.2005.16</w:t>
      </w:r>
    </w:p>
    <w:p>
      <w:r>
        <w:t>FR: TPF BH.2005.16 du 10 août 2005</w:t>
      </w:r>
    </w:p>
    <w:p>
      <w:r>
        <w:t>IT: TPF BH.2005.16 del 10 agosto 2005</w:t>
      </w:r>
    </w:p>
    <w:p>
      <w:pPr>
        <w:pStyle w:val="Heading2"/>
      </w:pPr>
      <w:r>
        <w:t>Regeste</w:t>
      </w:r>
    </w:p>
    <w:p>
      <w:r>
        <w:t>Beschwerde gegen Auslieferungshaftbefehl (Art. 47 i.V.m. 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wendet ein, der angefochtene Haftbefehl verletze die Garantie des freien Geleits (act. 1, S. 7-16) und seine Verhaftung sei rechtsmissbräuchlich bzw. verstosse gegen das Gebot von Treu und Glau- ben (act. 1, S. 16-17).</w:t>
      </w:r>
    </w:p>
    <w:p>
      <w:r>
        <w:t>Das Bundesgericht hat entschieden, dass dem Beschwerdeführer der Schutz des freien Geleits nicht zusteht (vgl. Urteil des Bundesgerichts 1S.18/2005 vom 14. Juli 2005 E. 2.4.1 i.f.). Auch der Einwand des Rechts- missbrauches bzw. des Verstosses gegen das Gebot von Treu und Glau- ben wurde vom Bundesgericht ausdrücklich für unbegründet erklärt (vgl. E. 2.6 des vorerwähnten Urteils). Wenngleich Gegenstand des bundesge- richtlichen Urteils einzig der Auslieferungshaftbefehl vom 3. Mai 2005 bilde- te, gelten die Ausführungen des Bundesgerichts auch für den vorliegend zur Diskussion stehenden Haftbefehl, da die Einwände des Beschwerde- führers die gleichen Grundsatzfragen betreffen. Es kann in diesem Sinne auf die entsprechenden bundesgerichtlichen Erwägungen verwiesen wer- den.</w:t>
      </w:r>
    </w:p>
    <w:p>
      <w:r>
        <w:t>Da die Frage der Fluchtgefahr gemäss eigenen Ausführungen des Be- schwerdeführers „gerade nicht Thema der vorliegenden Beschwerde bildet“ (act. 4, S. 3) und damit nicht geprüft zu werden braucht und der Beschwer- deführer keine weiteren Einwände erhebt, ist die Beschwerde abzuweisen.</w:t>
      </w:r>
    </w:p>
    <w:p>
      <w:r>
        <w:rPr>
          <w:b/>
        </w:rPr>
        <w:t>E. 2</w:t>
      </w:r>
    </w:p>
    <w:p>
      <w:r>
        <w:t>Bei diesem Ausgang des Verfahrens hat der Beschwerdeführer die Kosten zu tragen (Art. 48 Abs. 2 IRSG i.V.m. Art. 214 ff. sowie Art. 245 BStP und Art. 156 Abs. 1 OG). Es ist eine Gerichtsgebühr von Fr. 500.-- anzusetzen (Art. 3 des Reglements vom 11. Februar 2004 über die Gerichtsgebühren vor dem Bundesstrafgericht, SR 173.711.32).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