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BG.2025.83 vom 2. März 2026</w:t>
      </w:r>
    </w:p>
    <w:p>
      <w:r>
        <w:t>Bundesstrafgericht, 2026-03-02, DE</w:t>
      </w:r>
    </w:p>
    <w:p>
      <w:r>
        <w:rPr>
          <w:b/>
        </w:rPr>
        <w:t xml:space="preserve">Quelle: </w:t>
      </w:r>
      <w:r>
        <w:t>https://mcp.opencaselaw.ch/entscheid/bstger_BG.2025.83</w:t>
      </w:r>
    </w:p>
    <w:p>
      <w:r>
        <w:t>FR: TPF BG.2025.83 du 2 mars 2026</w:t>
      </w:r>
    </w:p>
    <w:p>
      <w:r>
        <w:t>IT: TPF BG.2025.83 del 2 marzo 2026</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2011 94 E. 2.2). Die Behörden, welche berechtigt sind, ihren Kanton im Meinungsaustausch und im Verfahren vor der Be- schwerdekammer zu vertreten, bestimmen sich nach dem jeweiligen kanto- nalen Recht (Art. 14 Abs. 4 StPO).</w:t>
      </w:r>
    </w:p>
    <w:p>
      <w:r>
        <w:rPr>
          <w:b/>
        </w:rPr>
        <w:t>E. 1.2</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w:t>
      </w:r>
    </w:p>
    <w:p>
      <w:r>
        <w:t>- 5 -</w:t>
      </w:r>
    </w:p>
    <w:p>
      <w:r>
        <w:t>Tatsachen erforschen und alle dazu notwendigen Erhebungen durchführen. Solange die Frage der Zuständigkeit offen oder streitig ist, bleibt jeder Kan- ton verpflichtet, die sein Gebiet betreffenden Tatsachen so weit abzuklären, als es der Entscheid über den Gerichtsstand erfordert (TPF 2019 62 E. 4.1; vgl. auch TPF 2017 170 E. 3.3.2). Dazu gehört insbesondere die Ermittlung des Ausführungsorts (vgl. die Beschlüsse des Bundesstrafgerichts BG.2024.53 vom 17. September 2024 E. 2.1; BG.2022.35 vom 19. Dezem- ber 2022 E. 3.2.1; BG.2020.37 vom 30. September 2020 E. 3.3; SCHWERI/BÄNZIGER, Interkantonale Gerichtsstandsbestimmung in Strafsa- chen, 2. Aufl. 2004, N. 443). Wurden nicht alle für die Festlegung des Ge- richtsstands wesentlichen Tatsachen erforscht und alle dazu notwendigen Erhebungen durchgeführt, ist auf das Gesuch grundsätzlich nicht einzutreten (statt vieler vgl. Beschluss des Bundesstrafgerichts BG.2023.44 vom 23. Ja- nuar 2024 E. 2.1 in fine m.w.H.).</w:t>
      </w:r>
    </w:p>
    <w:p>
      <w:r>
        <w:rPr>
          <w:b/>
        </w:rPr>
        <w:t>E. 1.3</w:t>
      </w:r>
    </w:p>
    <w:p>
      <w:r>
        <w:t>Der Meinungsaustausch zwischen den Kantonen Aargau und Solothurn wurde mit Schreiben des Kantons Solothurn vom 2. Dezember 2025 abge- schlossen. Das Gesuch um Festlegung des Gerichtsstandes vom 8. Dezem- ber 2025 wurde daher rechtzeitig bei der Beschwerdekammer des Bun- desstrafgerichts eingereicht. Ausserdem fand der Meinungsaustausch zwi- schen den nach dem jeweiligen kantonalen Recht zuständigen Behörden statt. Es bleibt zu prüfen, ob sämtliche für die Festlegung des Gerichtsstan- des notwendigen Erhebungen durchgeführt worden sind.</w:t>
      </w:r>
    </w:p>
    <w:p>
      <w:r>
        <w:rPr>
          <w:b/>
        </w:rPr>
        <w:t>E. 1.4.1</w:t>
      </w:r>
    </w:p>
    <w:p>
      <w:r>
        <w:t>Die Parteien sind sich einig, dass die Aussagen von A., wonach er über meh- rere Monate wöchentlich ca. 20 Gramm Heroin verkauft habe, den Tatbe- stand der qualifizierten Widerhandlungen gegen das Betäubungsmittelge- setz im Sinne von Art. 19 Abs. 2 BetmG betreffen und für die Festlegung der Zuständigkeit entscheidend sind (Art. 34 Abs. 1 Satz 1 StPO). Der Kanton Solothurn bestreitet auch nicht, dass gestützt auf die Aussagen von A. vom 30. September 2025 auf einen Ausführungsort in Olten in Bezug auf den Vor- wurf der qualifizierten Widerhandlungen gegen das BetmG zu schliessen sei (vgl. act. 4, S. 3). Er ist jedoch der Ansicht, dass der Kanton Aargau keine ernsthaften Bemühungen zur Bestimmung der massgeblichen Ausführungs- orte unternommen habe. So sei A. zumindest bis Ende 2024 in Y./AG, wel- ches in Fussdistanz zu Olten liege, wohnhaft gewesen. Es sei nicht auszu- schliessen, dass die weiteren Ausführungsorte unter anderem im Kanton Aargau liegen würden. Entsprechende Abklärungen habe der Kanton Aar- gau jedoch nicht getätigt.</w:t>
      </w:r>
    </w:p>
    <w:p>
      <w:r>
        <w:t>- 6 -</w:t>
      </w:r>
    </w:p>
    <w:p>
      <w:r>
        <w:rPr>
          <w:b/>
        </w:rPr>
        <w:t>E. 1.4.2</w:t>
      </w:r>
    </w:p>
    <w:p>
      <w:r>
        <w:t>Entgegen den Ausführungen des Gesuchsgegners bestand für den Gesuch- steller keine Notwendigkeit, weitere Abklärungen zur Bestimmung des Ge- richtsstandes vorzunehmen: A. gab anlässlich der polizeilichen Einvernahme vom 30. September 2025 zu Protokoll, dass er den Leasingvertrag vom 8. August 2024 für einen gewissen C. abgeschlossen und ihm das Fahr- zeuge in der Folge überlassen habe. Dafür habe er Drogen von C. verkaufen können. Die Drogenübergabe habe immer in der Nähe des Spitals in Olten in Richtung Bushaltestelle, wo es ein Bänklein gebe, stattgefunden. Er habe mit dem Verkauf der Drogen angefangen, als «[d]as mit dem Auto gestartet sei». Er habe während ca. einem halben Jahr etwa 20g Heroin in der Woche für C. verkauft. Die Abnehmer seien Kleinkonsumenten gewesen. Seine Kunden habe er mehrheitlich beim McDonalds in Olten beim Kirchenmürli getroffen. Er selbst sei seit November 2024 obdachlos. Zuvor habe er in Y./AG gewohnt. Er sei bei der Heroinabgabestation Olten, Herol, erreichbar. Dorthin könne ihm Post geschickt werden. Ansonsten habe er keine Adresse (Verfahrensakten, Kt. AG, pag. 66 ff.). Aufgrund der vorliegenden Akten, ins- besondere der Aussagen von A., bestehen gegenwärtig keine Hinweise für die Annahme, dieser habe ab August 2024 während eines halben Jahres an anderen Orten als Olten regelmässig Heroin verkauft. Sollte A. auch in Kan- ton Aargau, insbesondere in Y./AG – wie der Gesuchsgegner mutmasst –, das von C. erhaltene Heroin verkauft haben, würde dies nichts an der Zu- ständigkeit des Kantons Solothurn ändern, da A. zumindest schwerpunkt- mässig im Kanton Solothurn delinquiert haben dürfte (vgl. auch Ziff. 14 der Gerichtsstandsempfehlungen der SSK). Sagte er doch aus, er habe das He- roin mehrheitlich beim Kirchenmürli in Olten verkauft. Auf das Gesuch ist da- her einzutreten.</w:t>
      </w:r>
    </w:p>
    <w:p>
      <w:r>
        <w:rPr>
          <w:b/>
        </w:rPr>
        <w:t>E. 2</w:t>
      </w:r>
    </w:p>
    <w:p>
      <w:r>
        <w:t>Nach dem Gesagten ist davon auszugehen, dass das schwerste von A. be- gangene Delikt (Art. 19 Abs. 2 BetmG) im Kanton Solothurn begangen wor- den ist. Damit ist gestützt auf Art. 34 Abs. 1 Satz 1 StPO der Kanton Solo- thurn berechtigt und verpflichtet zu erklären, die A. zur Last gelegten Straf- taten zu verfolgen und zu beurteilen.</w:t>
      </w:r>
    </w:p>
    <w:p>
      <w:r>
        <w:t>Ob es der Gesuchsteller – wie vom Gesuchsgegner geltend gemacht – ver- säumt hat, unaufschiebbare Massnahmen anzuordnen, braucht im vorlie- genden Verfahren nicht geklärt zu werden, da die Beantwortung dieser Frage nicht gerichtsstandsbestimmend ist.</w:t>
      </w:r>
    </w:p>
    <w:p>
      <w:r>
        <w:t>- 7 -</w:t>
      </w:r>
    </w:p>
    <w:p>
      <w:r>
        <w:rPr>
          <w:b/>
        </w:rPr>
        <w:t>E. 3</w:t>
      </w:r>
    </w:p>
    <w:p>
      <w:r>
        <w:t>Praxisgemäss ist bei interkantonalen Gerichtsstandskonflikten keine Ge- richtsgebühr zu erheben (vgl. Art. 423 Abs. 1 StPO i.V.m. Art. 66 Abs. 4 BGG per analogiam; TPF 2023 130 E. 5.1 m.w.H.).</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