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BG.2025.82 vom 7. Januar 2026</w:t>
      </w:r>
    </w:p>
    <w:p>
      <w:r>
        <w:t>Bundesstrafgericht, 2026-01-07, DE</w:t>
      </w:r>
    </w:p>
    <w:p>
      <w:r>
        <w:rPr>
          <w:b/>
        </w:rPr>
        <w:t xml:space="preserve">Quelle: </w:t>
      </w:r>
      <w:r>
        <w:t>https://mcp.opencaselaw.ch/entscheid/bstger_BG.2025.82</w:t>
      </w:r>
    </w:p>
    <w:p>
      <w:r>
        <w:t>FR: TPF BG.2025.82 du 7 janvier 2026</w:t>
      </w:r>
    </w:p>
    <w:p>
      <w:r>
        <w:t>IT: TPF BG.2025.82 del 7 gennaio 2026</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 nen Fall wenn nötig der zuständigen Stelle weiter (Art. 39 Abs. 1 StPO). Er- scheinen mehrere Strafbehörden als örtlich zuständig, so informieren sich die beteiligten Staatsanwaltschaften unverzüglich über die wesentlichen Ele- 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 i.V.m. Art. 37 Abs. 1 StBOG). Hinsichtlich der Frist, innerhalb welcher die ersuchende Behörde ihr Gesuch einzureichen hat, ist im Normalfall die Frist von zehn Tagen gemäss Art. 396 Abs. 1 StPO analog anzuwenden (vgl. hierzu TPF 2019 62 E. 1; 2011 94 E. 2.2). Die Behörden, welche berechtigt sind, ihren Kanton im Meinungsaustausch und im Verfahren vor der Be- schwerdekammer zu vertreten, bestimmen sich nach dem jeweiligen kanto- nalen Recht (Art. 14 Abs. 4 StPO).</w:t>
      </w:r>
    </w:p>
    <w:p>
      <w:r>
        <w:rPr>
          <w:b/>
        </w:rPr>
        <w:t>E. 1.2</w:t>
      </w:r>
    </w:p>
    <w:p>
      <w:r>
        <w:t>Aufgrund des ausführlichen Meinungsaustauschs samt Stellungnahmen zum Wiedererwägungsgesuchs des Gesuchstellers (s. supra lit. B bis K) kann mit Blick auf die im vorliegenden Verfahren zu entscheidende Rechts- frage von einem Schriftenwechsel abgesehen werden. Beide Gesuchsgeg- ner haben bisher keine konkreten gleich schweren oder schwereren Delikte genannt, welche im Gerichtsstandsverfahren zu berücksichtigen wären. Sie stellen zu Recht nicht in Frage, dass der Ausführungsort des fraglichen SVG- Delikts vorliegend gerichtstandsbestimmend ist. Selbst wenn sie den Wohn- sitz des Lenkers als gerichtsbestimmend erachten würden, kann festgehal- ten werden, dass sie gerade nicht geltend machen, eine Täterschaft von A. sei nach der aktuellen Verdachtslage von vornherein als haltlos oder als si- cher ausgeschlossen zu betrachten (zum Grundsatz «in dubio pro duriore» s. an Stelle vieler TPF 2024 103 E. 3.3). Eine Einvernahme von A. ist bei dieser Ausgangslage zur Bestimmung des Gerichtsstands nicht notwendig. Die Sache erweist sich nach dem Gesagten als spruchreif. Die übrigen Ein- tretensvoraussetzungen geben keinen Anlass zu Bemerkungen. Auf das Ge- such ist einzutreten.</w:t>
      </w:r>
    </w:p>
    <w:p>
      <w:r>
        <w:t>- 7 -</w:t>
      </w:r>
    </w:p>
    <w:p>
      <w:r>
        <w:rPr>
          <w:b/>
        </w:rPr>
        <w:t>E. 2.1</w:t>
      </w:r>
    </w:p>
    <w:p>
      <w:r>
        <w:t>Für die Verfolgung und Beurteilung einer Straftat sind die Behörden des Or- tes zuständig, an dem die Tat verübt worden ist (Art. 31 Abs. 1 Satz 1 StPO). Der Ausführungsort befindet sich dort, wo der Täter gehandelt hat (BGE 86 IV 222 E. 1; TPF 2022 154 E. 3.2 m.w.H.).</w:t>
      </w:r>
    </w:p>
    <w:p>
      <w:r>
        <w:rPr>
          <w:b/>
        </w:rPr>
        <w:t>E. 2.2</w:t>
      </w:r>
    </w:p>
    <w:p>
      <w:r>
        <w:t>Ist eine Straftat an mehreren Orten verübt worden oder ist der Erfolg an meh- reren Orten eingetreten, so sind die Behörden des Ortes zuständig, an dem zuerst Verfolgungshandlungen vorgenommen worden sind (Art. 31 Abs. 2 StPO).</w:t>
      </w:r>
    </w:p>
    <w:p>
      <w:r>
        <w:rPr>
          <w:b/>
        </w:rPr>
        <w:t>E. 2.3</w:t>
      </w:r>
    </w:p>
    <w:p>
      <w:r>
        <w:t>Hat eine beschuldigte Person mehrere Straftaten an verschiedenen Orten verübt, so sind für die Verfolgung und Beurteilung sämtlicher Taten die Be- hörden des Ortes zuständig, an dem die mit der schwersten Strafe bedrohte Tat begangen worden ist. Bei gleicher Strafdrohung sind die Behörden des Ortes zuständig, an dem zuerst Verfolgungshandlungen vorgenommen wor- den sind (Art. 34 Abs. 1 Satz 1 und 2 StPO).</w:t>
      </w:r>
    </w:p>
    <w:p>
      <w:r>
        <w:rPr>
          <w:b/>
        </w:rPr>
        <w:t>E. 3.1</w:t>
      </w:r>
    </w:p>
    <w:p>
      <w:r>
        <w:t>Der am 10. Mai 2025 bei Gegenverkehr ausgeführte Wheelie stellt vorlie- gend eine qualifizierte grobe Verkehrsregelverletzung durch Nichtbeherr- schen des Fahrzeugs im Sinne von Art. 90 Ziff. 3 i.V.m. Art. 31 Abs. 1 SVG die schwerste Tat dar und ist somit vorliegend gerichtsstandsbestimmend. Als Ausführungsorte dieses Wheelie stehen die Kantone Luzern und Aargau fest.</w:t>
      </w:r>
    </w:p>
    <w:p>
      <w:r>
        <w:rPr>
          <w:b/>
        </w:rPr>
        <w:t>E. 3.2</w:t>
      </w:r>
    </w:p>
    <w:p>
      <w:r>
        <w:t>Eine qualifiziert grobe Verkehrsregelverletzung ist ein (abstraktes) Gefähr- dungsdelikt und ein Tätigkeitsdelikt (FIOLKA, Basler Kommentar, Strassen- verkehrsgesetz, 2014, Art. 90 SVG N. 55). Schon die blosse Vornahme der im Sinne des SVG gefährdenden Handlungen ist strafbar. Beim Wheelie ist der Tatbestand durch das Hochreissen des Vorderrades vollendet und die Tat aber durch das Ablegen des Vorderrades auf den Boden beendet (zum Dauerdelikt: WOHLERS/GODENZI/SCHLEGEL, Schweizerisches Strafgesetz- buch – Handkommentar, 4. Aufl. 2020, vor Art. 10 N. 5). Ist eine Straftat an mehreren Orten verübt worden, sind die Behörden des Ortes zuständig, an dem zuerst Verfolgungshandlungen vorgenommen wurden. Vorliegend ha- ben indessen weder der Kanton Luzern noch der Kanton Aargau Verfol- gungshandlungen vorgenommen. Zur Bestimmung des Gerichtsstands ist in solchen Konstellationen nach der Rechtsprechung auf die Ausführungs- handlung abzustellen, mit der die strafbare Tätigkeit zu Ende geführt wurde</w:t>
      </w:r>
    </w:p>
    <w:p>
      <w:r>
        <w:t>- 8 -</w:t>
      </w:r>
    </w:p>
    <w:p>
      <w:r>
        <w:t>(s. Beschluss des Bundesstrafgerichts BG.2013.6 vom 7. Mai 2013 E. 3 m.w.H.).</w:t>
      </w:r>
    </w:p>
    <w:p>
      <w:r>
        <w:rPr>
          <w:b/>
        </w:rPr>
        <w:t>E. 3.3</w:t>
      </w:r>
    </w:p>
    <w:p>
      <w:r>
        <w:t>Bei dem am 10. Mai 2025 bei Gegenverkehr ausgeführten Wheelie kam das Vorderrad im Kanton Luzern hoch und im Kanton Aargau wieder auf den Boden. Der Gerichtsstand liegt somit in Anwendung von Art. 31 Abs. 1 Satz 1 i.V.m. Art. 34 Abs. 1 Satz 1 StPO im Kanton Aargau.</w:t>
      </w:r>
    </w:p>
    <w:p>
      <w:r>
        <w:rPr>
          <w:b/>
        </w:rPr>
        <w:t>E. 4</w:t>
      </w:r>
    </w:p>
    <w:p>
      <w:r>
        <w:t>Folgerichtig ist das Gerichtsstandsgesuch gutzuheissen und es sind die Strafbehörden des Kantons Aargau für berechtigt und verpflichtet zu erklä- ren, die A. zur Last gelegten Straftaten zu verfolgen und zu beurteilen.</w:t>
      </w:r>
    </w:p>
    <w:p>
      <w:r>
        <w:rPr>
          <w:b/>
        </w:rPr>
        <w:t>E. 5</w:t>
      </w:r>
    </w:p>
    <w:p>
      <w:r>
        <w:t>Praxisgemäss ist bei interkantonalen Gerichtsstandskonflikten keine Ge- richtsgebühr zu erheben (vgl. Art. 423 Abs. 1 StPO i.V.m. Art. 66 Abs. 4 BGG per analogiam; TPF 2023 130 E. 5.1 m.w.H.).</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