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BG.2025.60 vom 15. Oktober 2025</w:t>
      </w:r>
    </w:p>
    <w:p>
      <w:r>
        <w:t>Bundesstrafgericht, 2025-10-15, DE</w:t>
      </w:r>
    </w:p>
    <w:p>
      <w:r>
        <w:rPr>
          <w:b/>
        </w:rPr>
        <w:t xml:space="preserve">Quelle: </w:t>
      </w:r>
      <w:r>
        <w:t>https://mcp.opencaselaw.ch/entscheid/bstger_BG.2025.60</w:t>
      </w:r>
    </w:p>
    <w:p>
      <w:r>
        <w:t>FR: TPF BG.2025.60 du 15 octobre 2025</w:t>
      </w:r>
    </w:p>
    <w:p>
      <w:r>
        <w:t>IT: TPF BG.2025.60 del 15 ottobre 2025</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z.B. Beschluss des Bundesstrafgerichts BG.2014.7 vom 21. März 2014 E. 1) sind vorliegend erfüllt.</w:t>
      </w:r>
    </w:p>
    <w:p>
      <w:r>
        <w:rPr>
          <w:b/>
        </w:rPr>
        <w:t>E. 2.1</w:t>
      </w:r>
    </w:p>
    <w:p>
      <w:r>
        <w:t>Für die Verfolgung und Beurteilung einer Straftat sind die Behörden des Or- tes zuständig, an dem die Tat verübt worden ist (Art. 31 Abs. 1 und 2 StPO). Der Ausführungsort befindet sich dort, wo der Täter gehandelt hat (BGE 86 IV 222 E. 1; TPF 2022 154 E. 3.2 m.w.H.).</w:t>
      </w:r>
    </w:p>
    <w:p>
      <w:r>
        <w:rPr>
          <w:b/>
        </w:rPr>
        <w:t>E. 2.2.1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rPr>
          <w:b/>
        </w:rPr>
        <w:t>E. 2.2.2</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(TPF 2024 109 E. 3.2; 2022 146 E. 2.1). Die schwerste Tat im gerichtsstandsrechtlichen Sinn ist diejenige mit der höchs- ten abstrakten gesetzlichen Strafdrohung, wobei Qualifizierungs- und Privi- legierungselemente des besonderen Teils des StGB, welche den Strafrah- men verändern, zu berücksichtigen sind (Entscheid des Bundesstrafgerichts BG.2010.14 vom 20. September 2010 E. 2.1).</w:t>
      </w:r>
    </w:p>
    <w:p>
      <w:r>
        <w:rPr>
          <w:b/>
        </w:rPr>
        <w:t>E. 2.3</w:t>
      </w:r>
    </w:p>
    <w:p>
      <w:r>
        <w:t>Die Beurteilung der Gerichtsstandsfrage richtet sich nach der aktuellen Verdachtslage. Massgeblich ist nicht, was der beschuldigten Person letztlich nachgewiesen werden kann, sondern der Tatbestand, der Gegenstand der Untersuchung bildet, es sei denn, dieser erweise sich von vornherein als haltlos oder sei sicher ausgeschlossen. Der Gerichtsstand bestimmt sich</w:t>
      </w:r>
    </w:p>
    <w:p>
      <w:r>
        <w:t>- 5 -</w:t>
      </w:r>
    </w:p>
    <w:p>
      <w:r>
        <w:t>also nicht nach dem, was der Täter begangen hat, sondern nach dem, was ihm vorgeworfen wird, das heisst, was aufgrund der Aktenlage überhaupt in Frage kommt. Es gilt der Grundsatz in dubio pro duriore, wonach im Zwei- felsfall auf den für den Beschuldigten ungünstigeren Sachverhalt abzustellen bzw. das schwerere Delikt anzunehmen ist (vgl. TPF 2024 113 E. 3.4 und Beschluss des Bundesstrafgerichts BG.2014.10 vom 10. Juni 2014 E. 2.1).</w:t>
      </w:r>
    </w:p>
    <w:p>
      <w:r>
        <w:rPr>
          <w:b/>
        </w:rPr>
        <w:t>E. 2.4.1</w:t>
      </w:r>
    </w:p>
    <w:p>
      <w:r>
        <w:t>Wer jemandem eine fremde bewegliche Sache zur Aneignung wegnimmt, um sich oder einen andern damit unrechtmässig zu bereichern, wird mit Frei- heitsstrafe bis zu fünf Jahren oder Geldstrafe bestraft (Art. 139 Ziff. 1 StGB). Der Dieb wird mit Freiheitsstrafe von sechs Monaten bis zu zehn Jahren be- straft, wenn er gewerbsmässig stiehlt (Art. 139 Ziff. 3 lit. a StGB) oder den Diebstahl als Mitglied einer Bande ausführt, die sich zur fortgesetzten Ver- übung von Raub oder Diebstahl zusammengefunden hat (Art. 139 Ziff. 3 lit. b StGB). Nach der Rechtsprechung ist Bandenmässigkeit gegeben, wenn zwei oder mehrere Täter sich mit dem ausdrücklich oder konkludent geäusserten Willen zusammenfinden, inskünftig zur Verübung mehrerer selbständiger, im Einzelnen möglicherweise noch unbestimmter Straftaten zusammenzuwir- ken (BGE 135 IV 158 E. 2 und E. 3).</w:t>
      </w:r>
    </w:p>
    <w:p>
      <w:r>
        <w:rPr>
          <w:b/>
        </w:rPr>
        <w:t>E. 2.4.2</w:t>
      </w:r>
    </w:p>
    <w:p>
      <w:r>
        <w:t>Nach der Rechtsprechung liegt im Begriff des berufsmässigen Handelns der Ansatzpunkt für die Umschreibung der Gewerbsmässigkeit. Der Täter han- delt berufsmässig, wenn sich aus der Zeit und den Mitteln, die er für die de- liktische Tätigkeit aufwendet, aus der Häufigkeit der Einzelakte innerhalb eines bestimmten Zeitraums sowie aus den angestrebten und erzielten Ein- künften ergibt, dass er die deliktische Tätigkeit nach der Art eines Berufes ausübt. Wesentlich ist, dass der Täter sich darauf einrichtet, durch sein de- liktisches Handeln relativ regelmässige Einnahmen zu erzielen, die einen namhaften Beitrag an die Kosten seiner Lebensgestaltung darstellen. Diese abstrakte Umschreibung hat Richtlinienfunktion. Die Einnahmequelle braucht nicht den hauptsächlichen oder regelmässigen Erwerb zu bilden. Eine nebenberufliche deliktische Tätigkeit kann als Voraussetzung für Ge- werbsmässigkeit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 gangen haben und es muss aus den gesamten Umständen geschlossen werden, er sei zu einer Vielzahl unter den entsprechenden Tatbestand fal- lender Handlungen bereit gewesen (BGE 147 IV 176 E. 2.2.1; 129 IV 253 E. 2.1; 129 IV 188 E. 3.1.2; Urteile des Bundesgerichts 6B_1263/2023 vom</w:t>
      </w:r>
    </w:p>
    <w:p>
      <w:r>
        <w:t>- 6 -</w:t>
      </w:r>
    </w:p>
    <w:p>
      <w:r>
        <w:t>28. August 2025 E.1.3.2; 6B_106/2024 vom 6. Mai 2025 E. 2.6.2; 6B_693/2024 vom 27. November 2024 E. 2.1; 6B_1385/2023 vom 19. Sep- tember 2024 E. 1.3.1, je mit Hinweisen).</w:t>
      </w:r>
    </w:p>
    <w:p>
      <w:r>
        <w:rPr>
          <w:b/>
        </w:rPr>
        <w:t>E. 2.5</w:t>
      </w:r>
    </w:p>
    <w:p>
      <w:r>
        <w:t>Die Ausführungen im vorliegenden Gesuch zur Gewerbsmässigkeit vermö- gen zu überzeugen. Alle drei Beschuldigten sind algerische Staatsangehö- rige, Asylsuchende und erzielen kein Einkommen. Anlässlich der Einvernah- men vom 12. August 2025 gaben die Beschuldigten an, vor nicht langer Zeit resp. erst einige Tage vor der Verhaftung am 1. Juni 2025 von Frankreich in die Schweiz eingereist zu sein (Verfahrensakten AG, Ordner 1/2, Lasche 2, Einvernahmeprotokolle vom 12. August 2025, je S. 4). Die ihnen vorgewor- fenen acht Diebstähle bzw. Diebstahlsversuche sollen sie zwischen dem 16. Mai 2025 und 1. Juni 2025 begangen und einen Deliktsbetrag von total Fr. 10'827.35 erzielt haben. Angesichts der Höhe des Deliktsbetrages, der hohen Anzahl der Delikte innerhalb kurzer Dauer und der Tatsache, dass die Beschuldigten weder über Einkommen noch Vermögen verfügen, ist in An- wendung des in dubio pro duriore Grundsatzes von Gewerbsmässigkeit aus- zugehen. Ausserdem wurde an der im eingebrochenen Fahrzeug sicherge- stellten Trinkflasche nebst der DNA von A. eine DNA-Spur von einer zweiten Person sichergestellt (Verfahrensakten AG, Ordner 2/2, Lasche 13, Spuren- bericht vom 16. Juni 2025). Eine Beteiligung einer zweiten Person am Vorfall vom 16. Mai 2025 kann somit zum jetzigen Zeitpunkt nicht ausgeschlossen werden. Damit ist der mutmasslich von A. am 16. Mai 2025 in Z./SG verübte Diebstahl als Teil der gewerbsmässig verübten Diebstahlsserie zu betrach- ten. Da dessen Strafverfolgung im Kanton St. Gallen angehoben wurde, ist dieser für die Verfolgung und Beurteilung sämtlicher den drei Mittätern vor- geworfenen Handlungen zuständig (vgl. supra E. 2.2.1). Bei diesem Ergeb- nis kann dahin gestellt bleiben, ob die Beschuldigten die Delikte als Bande i.S.v. Art. 139 Ziff. 3 lit. b StGB begangen haben.</w:t>
      </w:r>
    </w:p>
    <w:p>
      <w:r>
        <w:rPr>
          <w:b/>
        </w:rPr>
        <w:t>E. 3</w:t>
      </w:r>
    </w:p>
    <w:p>
      <w:r>
        <w:t>Nach dem Gesagten ist das Gesuch gutzuheissen und es sind die Strafbe- hörden des Kantons St. Gallen für berechtigt und verpflichtet zu erklären, die den Beschuldigten A., B. und C. zur Last gelegten Delikte zu verfolgen und zu beurteilen.</w:t>
      </w:r>
    </w:p>
    <w:p>
      <w:r>
        <w:rPr>
          <w:b/>
        </w:rPr>
        <w:t>E. 4</w:t>
      </w:r>
    </w:p>
    <w:p>
      <w:r>
        <w:t>Praxisgemäss ist bei interkantonalen Gerichtsstandskonflikten keine Ge- richtsgebühr zu erheben (TPF 2023 130 E. 5.1; vgl. schon BGE 87 IV 145).</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