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BG.2025.54 vom 20. Oktober 2025</w:t>
      </w:r>
    </w:p>
    <w:p>
      <w:r>
        <w:t>Bundesstrafgericht, 2025-10-20, DE</w:t>
      </w:r>
    </w:p>
    <w:p>
      <w:r>
        <w:rPr>
          <w:b/>
        </w:rPr>
        <w:t xml:space="preserve">Quelle: </w:t>
      </w:r>
      <w:r>
        <w:t>https://mcp.opencaselaw.ch/entscheid/bstger_BG.2025.54</w:t>
      </w:r>
    </w:p>
    <w:p>
      <w:r>
        <w:t>FR: TPF BG.2025.54 du 20 octobre 2025</w:t>
      </w:r>
    </w:p>
    <w:p>
      <w:r>
        <w:t>IT: TPF BG.2025.54 del 20 ottobre 2025</w:t>
      </w:r>
    </w:p>
    <w:p>
      <w:pPr>
        <w:pStyle w:val="Heading2"/>
      </w:pPr>
      <w:r>
        <w:t>Regeste</w:t>
      </w:r>
    </w:p>
    <w:p>
      <w:r>
        <w:t>Gerichtsstandskonflikt (Art. 40 Abs. 2 StPO)</w:t>
      </w:r>
    </w:p>
    <w:p>
      <w:pPr>
        <w:pStyle w:val="Heading2"/>
      </w:pPr>
      <w:r>
        <w:t>Erwägungen</w:t>
      </w:r>
    </w:p>
    <w:p>
      <w:r>
        <w:rPr>
          <w:b/>
        </w:rPr>
        <w:t>E. 1</w:t>
      </w:r>
    </w:p>
    <w:p>
      <w:r>
        <w:t>Die Eintretensvoraussetzungen (durchgeführter Meinungsaustausch zwi- schen den involvierten Kantonen und zuständigen Behörden, Frist und Form) geben keinen Anlass zu Bemerkungen. Auf das Gesuch ist einzutre- ten.</w:t>
      </w:r>
    </w:p>
    <w:p>
      <w:r>
        <w:rPr>
          <w:b/>
        </w:rPr>
        <w:t>E. 2.1</w:t>
      </w:r>
    </w:p>
    <w:p>
      <w:r>
        <w:t>Ein nach den Art. 38–41 StPO festgelegter Gerichtsstand kann nur aus neuen wichtigen Gründen und nur vor der Anklageerhebung geändert wer- den (Art. 42 Abs. 3 StPO). Eine Änderung des Gerichtsstands muss sich aus verfahrensökonomischen Gründen oder zur Wahrung anderer, neu ins Ge- wicht fallender Interessen wegen veränderter Verhältnisse gebieterisch auf- drängen (SCHLEGEL, Zürcher Kommentar, 3. Aufl. 2020, Art. 42 StPO N. 6; BAUMGARTNER, Die Zuständigkeit im Strafverfahren, 2014, S. 416 ff.). Die Anforderungen an die «neuen wichtigen Gründe», die für die Änderung eines bereits in einem Gerichtsstandsverfahren festgelegten Gerichtsstands vor- liegen müssen, sind hoch (Beschluss des Bundesstrafgerichts BG.2025.33 vom 16. Juni 2025 E. 2.1).</w:t>
      </w:r>
    </w:p>
    <w:p>
      <w:r>
        <w:t>Für eine Änderung des Gerichtsstands in Frage kommen insbesondere eine Ermessensüberschreitung durch die Kantone beim Abweichen vom gesetz- lichen Gerichtsstand, das Fehlen eines Anknüpfungspunktes beim verfol- genden Kanton oder das Auftauchen neuer Tatsachen, wonach sich aus ver- fahrensökonomischen Gründen ein Wechsel des Gerichtsstands gebiete- risch aufdrängt (Entscheid des Bundesstrafgerichts BG.2006.13 vom 21. Au- gust 2006 E. 4.1). Dagegen liegen keine wichtigen Gründe für eine Neube- urteilung des Gerichtsstands vor, wenn ein Teil der in die Untersuchung ein- bezogenen Handlungen aus der Strafverfolgung ausscheidet, wenn die ver- folgten Handlungen nachträglich rechtlich anders gewürdigt werden, wenn weitere gleichartige Delikte hinzukommen oder wenn die Untersuchung kurz vor dem Abschluss steht (Beschluss des Bundesstrafgerichts BG.2012.9 vom 10. Mai 2012 E. 3.1; vgl. zum Ganzen BAUMGARTNER, a.a.O., S. 428 f.; BOUVERAT, Commentaire romand, 2. Aufl. 2019, Art. 42 StPO N. 7; KUHN, Basler Kommentar, 3. Aufl. 2023, Art. 42 StPO N. 8 f.; zum Ganzen Be- schluss des Bundesstrafgerichts BG.2023.41 vom 25. Januar 2024 E. 3.2).</w:t>
      </w:r>
    </w:p>
    <w:p>
      <w:r>
        <w:t>- 4 -</w:t>
      </w:r>
    </w:p>
    <w:p>
      <w:r>
        <w:rPr>
          <w:b/>
        </w:rPr>
        <w:t>E. 2.2</w:t>
      </w:r>
    </w:p>
    <w:p>
      <w:r>
        <w:t>Vorliegend bringt der Kanton Zürich vor, es dränge sich die Änderung des Gerichtsstands auf, da der Kanton Schwyz nie erwähnt habe, dass ihm die Strafanzeige überbracht worden sei. Seine Akten seien so umfangreich ge- wesen, dass es schwierig gewesen sei, die einzelne Aktennotiz mit dieser Information zu entdecken (act. 1 S. 4). Es ist jedoch dem Kanton Schwyz beizupflichten (act. 4 S. 3), dass dies kein neuer wichtiger Grund darstellt, der gebieterisch eine Änderung der Zuständigkeit verlangt. Auch eine örtli- che Anknüpfung im Kanton Zürich ist offensichtlich gegeben (Verfassen der Strafanzeige vom 14. März 2023; Verfassen und Postaufgabe der Stellung- nahme vom 29. Januar 2024; Einreichen der Strafanzeige vom 19. April 2024).</w:t>
      </w:r>
    </w:p>
    <w:p>
      <w:r>
        <w:rPr>
          <w:b/>
        </w:rPr>
        <w:t>E. 2.3</w:t>
      </w:r>
    </w:p>
    <w:p>
      <w:r>
        <w:t>Damit sind unverändert die Strafbehörden des Kantons Zürich berechtigt und verpflichtet, die B. senior, C. junior, D. sowie E. in der Strafanzeige vom 18. April 2024 zur Last gelegten Straftaten zu verfolgen und zu beurteilen.</w:t>
      </w:r>
    </w:p>
    <w:p>
      <w:r>
        <w:rPr>
          <w:b/>
        </w:rPr>
        <w:t>E. 3</w:t>
      </w:r>
    </w:p>
    <w:p>
      <w:r>
        <w:t>Praxisgemäss ist bei interkantonalen Gerichtsstandskonflikten in der Regel keine Gerichtsgebühr zu erheben (TPF 2023 130 E. 5.1).</w:t>
      </w:r>
    </w:p>
    <w:p>
      <w:r>
        <w:t>- 5 -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