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BG.2025.48 vom 15. Oktober 2025</w:t>
      </w:r>
    </w:p>
    <w:p>
      <w:r>
        <w:t>Bundesstrafgericht, 2025-10-15, FR</w:t>
      </w:r>
    </w:p>
    <w:p>
      <w:r>
        <w:rPr>
          <w:b/>
        </w:rPr>
        <w:t xml:space="preserve">Quelle: </w:t>
      </w:r>
      <w:r>
        <w:t>https://mcp.opencaselaw.ch/entscheid/bstger_BG.2025.48</w:t>
      </w:r>
    </w:p>
    <w:p>
      <w:r>
        <w:t>FR: TPF BG.2025.48 du 15 octobre 2025</w:t>
      </w:r>
    </w:p>
    <w:p>
      <w:r>
        <w:t>IT: TPF BG.2025.48 del 15 ottobre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La condition préa- lable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S’agissant du délai dans lequel l’autorité requérante doit saisir la Cour de céans, il a été décidé de se référer par ana- logie au délai de dix jours prévus à l’art. 396 al. 1 CPP, exception faite du cas dans lequel l’autorité requérante invoque des circonstances exception- nelles qui lui incombe de spécifier (TPF 2011 94 consid. 2.2; décision du Tribunal pénal fédéral BG.2017.17 du 18 juillet 2017 consid. 1.2 et réf. cit.; MOREILLON/DUPUIS/MAZOU, La pratique judiciaire du Tribunal pénal fédéral en 2015, in JdT 2016 IV 191 p. 194). C’est en fonction de la législation de chaque canton que l’on détermine les autorités qui sont légitimées à repré- senter leur canton dans le cadre de l’échange de vues ou dans la procédure devant la Cour des plaintes (art. 14 al. 4 CPP; ECHLE/KUHN, Commentaire bâlois, 3e éd. 2023, n. 9 ad art. 39 CPP et n. 10 s. ad art. 40 CPP).</w:t>
      </w:r>
    </w:p>
    <w:p>
      <w:r>
        <w:rPr>
          <w:b/>
        </w:rPr>
        <w:t>E. 1.2</w:t>
      </w:r>
    </w:p>
    <w:p>
      <w:r>
        <w:t>L’échange de vues a été dûment mené à bien. Les ministères publics des cantons concernés sont légitimés à représenter le canton dans des contes- tations de for intercantonales en matière pénale et la requête en fixation de</w:t>
      </w:r>
    </w:p>
    <w:p>
      <w:r>
        <w:t>- 5 -</w:t>
      </w:r>
    </w:p>
    <w:p>
      <w:r>
        <w:t>for a été présentée par l’un d’eux. Déposée le 6 août 2025, soit dans les dix jours ayant suivi la réception du dernier échange de vues, intervenue le 29 juillet 2025 (act. 1.7), la requête en fixation de for est recevable et il y a lieu d’entrer en matière.</w:t>
      </w:r>
    </w:p>
    <w:p>
      <w:r>
        <w:rPr>
          <w:b/>
        </w:rPr>
        <w:t>E. 2.1</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2.1.1</w:t>
      </w:r>
    </w:p>
    <w:p>
      <w:r>
        <w:t>A teneur de l’art. 31 al. 1 CPP, l’autorité du lieu où l’acte a été commis est compétente pour la poursuite et le jugement de l’infraction.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 trepris. 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(ATF 113 Ia 165 consid. 4.c.bb; MOSER/SCHLAPBACH, Commentaire bâlois, 3e éd. 2023, n. 11 ad art. 34 CPP).</w:t>
      </w:r>
    </w:p>
    <w:p>
      <w:r>
        <w:rPr>
          <w:b/>
        </w:rPr>
        <w:t>E. 2.1.2</w:t>
      </w:r>
    </w:p>
    <w:p>
      <w:r>
        <w:t>Les autorités cantonales doivent examiner sommairement et rapidement si le for légal se trouve sur leur territoire et recueillir les principaux éléments nécessaires pour clarifier ce point (ATF 119 IV 102 consid. 4a). Cet examen doit être sommaire et rapide afin d’éviter tout retard dans la procédure. L’autorité chargée de l’examen doit rechercher tous les faits essentiels à la détermination du for, procéder aux enquêtes nécessaires à cet effet et dé- terminer notamment le lieu d’exécution. Si le prévenu a commis une infrac- tion dans plusieurs cantons, chaque canton doit d’abord mener les investi- gations essentielles à la détermination du for (ATF 119 IV 102 consid. 4b).</w:t>
      </w:r>
    </w:p>
    <w:p>
      <w:r>
        <w:rPr>
          <w:b/>
        </w:rPr>
        <w:t>E. 3.1</w:t>
      </w:r>
    </w:p>
    <w:p>
      <w:r>
        <w:t>Il ressort de l’audition du jeune B. s’étant déroulée le 7 avril 2025 qu’une partie des faits, susceptibles de réaliser les infractions d’actes d’ordre sexuel avec des enfants (art. 187 CP), actes d’ordre sexuel commis sur une per- sonne incapable de discernement ou de résistance (art. 191 CP) et remise à des enfants de substances nocives (art. 136 CP), se serait déroulée à V.</w:t>
      </w:r>
    </w:p>
    <w:p>
      <w:r>
        <w:t>- 6 -</w:t>
      </w:r>
    </w:p>
    <w:p>
      <w:r>
        <w:t>(BE), alors que C. aurait donné un jus de pomme ou de thé froid à son fils, qui se serait endormi et que ce dernier aurait senti « quelque chose qui pi- quait un peu ses parties intimes » les jours suivants et avoir aperçu « un peu de sang » en prenant une douche.</w:t>
      </w:r>
    </w:p>
    <w:p>
      <w:r>
        <w:t>Une autre partie des faits décrits par l’enfant se serait déroulée à W., en Autriche, où il s’était rendu avec son père dans cinq pharmacies pour trouver des comprimés, qu’il avait partagé un lit avec son père pendant le séjour et s’était réveillé en pleine nuit, rêvant de pousser un sac, mais poussant en réalité son père, qui dormait.</w:t>
      </w:r>
    </w:p>
    <w:p>
      <w:r>
        <w:t>Les faits rattachés au canton de Zurich sont ceux rapportés par la mère de B. lors de la consultation du 18 décembre 2023. En effet, il ressort du signa- lement de l’hôpital du 4 février 2024, que lorsqu’elle s’était rendue aux ur- gences de l’hôpital de Y. (VD) avec son fils, elle avait déclaré être inquiète quant à de potentiels attouchements à caractère sexuel sur l’intéressé, lorsqu’il était chez son père à X. (ZH). Selon le rapport de la police vaudoise du 30 octobre 2024, A. avait notamment questionné son fils le 22 août 2019 qui lui aurait expliqué que des faits impliquant que son père ait touché son pénis se seraient passés chez son père, dans la chambre ou à la piscine. Tels que décrits, ces derniers pourraient être constitutifs d’actes d’ordre sexuel avec des enfants au sens de l’art. 187 CP.</w:t>
      </w:r>
    </w:p>
    <w:p>
      <w:r>
        <w:rPr>
          <w:b/>
        </w:rPr>
        <w:t>E. 3.2</w:t>
      </w:r>
    </w:p>
    <w:p>
      <w:r>
        <w:t>En l’espèce, la Cour de céans considère que, des trois infractions suscep- tibles d’être retenues, la plus grave serait celle d’actes d’ordre sexuel com- mis sur une personne incapable de discernement ou de résistance (art. 191 CP), dont la peine menace est une peine privative de liberté de dix ans, et qui aurait été commise à V. (BE).</w:t>
      </w:r>
    </w:p>
    <w:p>
      <w:r>
        <w:rPr>
          <w:b/>
        </w:rPr>
        <w:t>E. 3.3</w:t>
      </w:r>
    </w:p>
    <w:p>
      <w:r>
        <w:t>En l’état actuel du dossier, les potentiels faits rattachés au canton de Zurich ne ressortent pas des déclarations spontanées de B., mais du discours rap- porté par sa mère lors de la consultation médicale du 18 décembre 2023. Quand bien même ceux-ci seraient ressortis de l’audition de l’enfant, ils ne sont – en l’état et dans tous les cas – pas susceptibles de réaliser une in- fraction plus grave que celle de l’art. 191 CP.</w:t>
      </w:r>
    </w:p>
    <w:p>
      <w:r>
        <w:rPr>
          <w:b/>
        </w:rPr>
        <w:t>E. 3.4</w:t>
      </w:r>
    </w:p>
    <w:p>
      <w:r>
        <w:t>La Cour de céans retient ainsi que le MP-BE est seul compétent pour ins- truire et juger des faits susceptibles d’être reprochés à C.</w:t>
      </w:r>
    </w:p>
    <w:p>
      <w:r>
        <w:rPr>
          <w:b/>
        </w:rPr>
        <w:t>E. 4</w:t>
      </w:r>
    </w:p>
    <w:p>
      <w:r>
        <w:t>Selon la pratique constante, la présente décision est rendue sans frais (TPF 2023 130 consid. 5.1).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