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BG.2025.4 vom 3. April 2025</w:t>
      </w:r>
    </w:p>
    <w:p>
      <w:r>
        <w:t>Bundesstrafgericht, 2025-04-03, DE</w:t>
      </w:r>
    </w:p>
    <w:p>
      <w:r>
        <w:rPr>
          <w:b/>
        </w:rPr>
        <w:t xml:space="preserve">Quelle: </w:t>
      </w:r>
      <w:r>
        <w:t>https://mcp.opencaselaw.ch/entscheid/bstger_BG.2025.4</w:t>
      </w:r>
    </w:p>
    <w:p>
      <w:r>
        <w:t>FR: TPF BG.2025.4 du 3 avril 2025</w:t>
      </w:r>
    </w:p>
    <w:p>
      <w:r>
        <w:t>IT: TPF BG.2025.4 del 3 aprile 2025</w:t>
      </w:r>
    </w:p>
    <w:p>
      <w:pPr>
        <w:pStyle w:val="Heading2"/>
      </w:pPr>
      <w:r>
        <w:t>Regeste</w:t>
      </w:r>
    </w:p>
    <w:p>
      <w:r>
        <w:t>Anfechtung des Gerichtsstands (Art. 41 Abs. 2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Gerichtsgebühr von Fr. 500.– wird dem Beschwerdeführer auferlegt.</w:t>
      </w:r>
    </w:p>
    <w:p>
      <w:r>
        <w:t>Bellinzona, 3. April 2025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Staatsanwaltschaft Graubünden, Geschäftsleitung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