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BG.2025.39 vom 22. Juli 2025</w:t>
      </w:r>
    </w:p>
    <w:p>
      <w:r>
        <w:t>Bundesstrafgericht, 2025-07-22, DE</w:t>
      </w:r>
    </w:p>
    <w:p>
      <w:r>
        <w:rPr>
          <w:b/>
        </w:rPr>
        <w:t xml:space="preserve">Quelle: </w:t>
      </w:r>
      <w:r>
        <w:t>https://mcp.opencaselaw.ch/entscheid/bstger_BG.2025.39</w:t>
      </w:r>
    </w:p>
    <w:p>
      <w:r>
        <w:t>FR: TPF BG.2025.39 du 22 juillet 2025</w:t>
      </w:r>
    </w:p>
    <w:p>
      <w:r>
        <w:t>IT: TPF BG.2025.39 del 22 luglio 2025</w:t>
      </w:r>
    </w:p>
    <w:p>
      <w:pPr>
        <w:pStyle w:val="Heading2"/>
      </w:pPr>
      <w:r>
        <w:t>Regeste</w:t>
      </w:r>
    </w:p>
    <w:p>
      <w:r>
        <w:t>Anfechtung des Gerichtsstands (Art. 41 Abs. 2 StPO)</w:t>
      </w:r>
    </w:p>
    <w:p>
      <w:pPr>
        <w:pStyle w:val="Heading2"/>
      </w:pPr>
      <w:r>
        <w:t>Erwägungen</w:t>
      </w:r>
    </w:p>
    <w:p>
      <w:r>
        <w:rPr>
          <w:b/>
        </w:rPr>
        <w:t>E. 1.1</w:t>
      </w:r>
    </w:p>
    <w:p>
      <w:r>
        <w:t>Eine Partei, welche die Zuständigkeit der mit dem Strafverfahren befassten Behörde anfechten will, hat dieser unverzüglich die Überweisung des Falles an die zuständige Strafbehörde zu beantragen (Art. 41 Abs. 1 StPO). Geht die Strafbehörde im interkantonalen Verhältnis von der eigenen Zuständig- keit aus, so leitet sie den Antrag der Partei mit ihrer Stellungnahme an die kantonale Instanz weiter, die berechtigt ist, den Kanton vor der Beschwerde- kammer des Bundesstrafgerichts zu vertreten. Diese entscheidet, ob sie den Meinungsaustausch mit den anderen Kantonen durchführt oder an der Zu- ständigkeit des eigenen Kantons festhält. Hält sie an der Zuständigkeit fest,</w:t>
      </w:r>
    </w:p>
    <w:p>
      <w:r>
        <w:t>- 4 -</w:t>
      </w:r>
    </w:p>
    <w:p>
      <w:r>
        <w:t>eröffnet sie dies den Parteien mit einer Verfügung und der Rechtsmittelbe- lehrung gemäss Art. 41 Abs. 2 StPO (KUHN, Basler Kommentar, 3. Aufl. 2023, Art. 41 StPO N. 8; vgl. Beschluss des Bundesstrafgerichts BG.2024.3 vom 15. März 2024 E. 1.2.1). Gegen die (nach einem allfälligen Meinungs- austausch) getroffene Entscheidung über den Gerichtsstand können sich die Parteien innert zehn Tagen bei der Beschwerdekammer des Bundesstrafge- richts beschweren (Art. 41 Abs. 2 StPO).</w:t>
      </w:r>
    </w:p>
    <w:p>
      <w:r>
        <w:rPr>
          <w:b/>
        </w:rPr>
        <w:t>E. 1.2</w:t>
      </w:r>
    </w:p>
    <w:p>
      <w:r>
        <w:t>Vorliegend gewährte die StA SG dem Beschwerdeführer das rechtliche Ge- hör betreffend die geplante Übernahme des bislang von der StA AG geführ- ten Strafverfahrens vor Erlass der Verfügung vom 4. Februar 2025. Vor die- sem Hintergrund ist von einem zulässigen Anfechtungsobjekt auszugehen. Die Beschwerdekammer ist zur Behandlung der dagegen erhobenen Be- schwerde zuständig. Das Vorliegen der übrigen Eintretensvoraussetzungen kann offenbleiben, weil die Beschwerde – wie nachfolgend aufgezeigt – ab- zuweisen ist.</w:t>
      </w:r>
    </w:p>
    <w:p>
      <w:r>
        <w:rPr>
          <w:b/>
        </w:rPr>
        <w:t>E. 2.1</w:t>
      </w:r>
    </w:p>
    <w:p>
      <w:r>
        <w:t>Der Beschwerdeführer bringt in seinen (unübersichtlichen und inhaltlich sich wiederholenden) Eingaben in Bezug auf die Verfügung der StA St. Gallen vom 4. Februar 2025 vor, die verfügende Staatsanwältin gebe den Sachver- halt nicht korrekt wieder. Die Strafverfahren seien über Monate, sogar Jahre nicht bestätigt und bearbeitet worden. Demzufolge treffe ihre Argumentation nicht zu. Die Erstverfolgung habe im Kanton St. Gallen nie stattgefunden, was der Entscheid der Anklagekammer des Kantons St. Gallen vom 7. No- vember 2024 bestätige. Ebenfalls bestätige dies Rechtsanwalt F. in seinem Schreiben vom 26. November 2024 (act. 1 S. 5 ff.). Die verfügende Staats- anwältin unterschlage insbesondere die von der Anklagekammer des Kan- tons St. Gallen festgestellte Rechtsverzögerung (act. 1 passim).</w:t>
      </w:r>
    </w:p>
    <w:p>
      <w:r>
        <w:rPr>
          <w:b/>
        </w:rPr>
        <w:t>E. 2.2</w:t>
      </w:r>
    </w:p>
    <w:p>
      <w:r>
        <w:t>Dem Beschwerdeführer kann nicht gefolgt werden. Wird bei der Gerichts- standsbestimmung – wie vorliegend – auf den Ort abgestellt, an dem zuerst Verfolgungshandlungen vorgenommen worden sind, umfasst dies die pro- zessuale Tatsache, dass eine bestimmte Verfahrenshandlung von einer Strafverfolgungsbehörde früher vorgenommen wurde als von einer anderen (BAUMGARTNER, Die Zuständigkeit im Strafverfahren, 2014, S. 167 f.). Es ge- nügt jedes menschliche Tätigwerden (TPF 2009 169 E. 2.3), also auch die blosse Kenntnisnahme einer Strafanzeige (SCHLEGEL, Zürcher Kommentar,</w:t>
      </w:r>
    </w:p>
    <w:p>
      <w:r>
        <w:rPr>
          <w:b/>
        </w:rPr>
        <w:t>E. 3</w:t>
      </w:r>
    </w:p>
    <w:p>
      <w:r>
        <w:t>Aufl. 2020, Art. 31 StPO N. 27). Ohne Bedeutung ist, ob die Behörde der Strafanzeige tatsächlich Folge leistet oder nicht (SCHWERI/BÄNZIGER, Inter- kantonale Gerichtsstandsbestimmung in Strafsachen, 2. Aufl. 2004, N. 142).</w:t>
      </w:r>
    </w:p>
    <w:p>
      <w:r>
        <w:t>- 5 -</w:t>
      </w:r>
    </w:p>
    <w:p>
      <w:r>
        <w:t>Dass der Beschwerdeführer die prozessuale Tatsache bestreiten würde, wo- nach die StA SG bereits seit November 2023 bzw. seit Februar 2024 bzw. seit März 2024 Verfahren gegen die genannten Personen führt, ist nicht er- sichtlich. Ob allenfalls die StA SG dabei das Beschleunigungsgebot verletzt hat und eine Rechtsverzögerung vorliegt, ist bei der Gerichtsstandsbestim- mung irrelevant.</w:t>
      </w:r>
    </w:p>
    <w:p>
      <w:r>
        <w:rPr>
          <w:b/>
        </w:rPr>
        <w:t>E. 3.1</w:t>
      </w:r>
    </w:p>
    <w:p>
      <w:r>
        <w:t>Der Beschwerdeführer bringt in seinen Eingaben im Wesentlichen weiter vor, verschiedene Richter und Staatsanwälte seien befangen und/oder korrupt, begingen Verfahrensfehler und/oder handelten willkürlich bzw. strafbar (act. 1 passim, act. 2 passim, act. 3 passim).</w:t>
      </w:r>
    </w:p>
    <w:p>
      <w:r>
        <w:rPr>
          <w:b/>
        </w:rPr>
        <w:t>E. 3.2</w:t>
      </w:r>
    </w:p>
    <w:p>
      <w:r>
        <w:t>Der Beschwerdeführer ist (erneut) darauf hinzuweisen, dass weder die all- fällige Befangenheit von in Strafbehörden tätigen Personen noch allfällige fehlerhafte Verfahrenshandlungen dieser Personen bei der Bestimmung des Gerichtsstands von Bedeutung sind. Allfällige Ausstandsgründe sind in ei- nem Ausstandsverfahren gemäss Art. 56 ff. StPO und allfällige fehlerhafte Verfahrenshandlungen in einem Beschwerdeverfahren gemäss Art. 393 ff. StPO geltend zu machen (vgl. Beschluss des Bundesstrafgerichts BG.2024.47 vom 7. August 2024 mit Hinweis). Die Beschwerdekammer ist dafür vorliegend nicht zuständig.</w:t>
      </w:r>
    </w:p>
    <w:p>
      <w:r>
        <w:rPr>
          <w:b/>
        </w:rPr>
        <w:t>E. 4</w:t>
      </w:r>
    </w:p>
    <w:p>
      <w:r>
        <w:t>Nach dem Gesagten ist die offensichtlich unbegründete Beschwerde ohne Schriftenwechsel abzuweisen, soweit auf sie einzutreten ist (vgl. Art. 390 Abs. 2 StPO e contrario).</w:t>
      </w:r>
    </w:p>
    <w:p>
      <w:r>
        <w:rPr>
          <w:b/>
        </w:rPr>
        <w:t>E. 5</w:t>
      </w:r>
    </w:p>
    <w:p>
      <w:r>
        <w:t>Bei diesem Ausgang des Verfahrens hat der Beschwerdeführer die Gerichts- kosten zu tragen (vgl. Art. 428 Abs. 1 StPO). Die Gerichtsgebühr ist auf Fr. 1'000.– festzusetzen (vgl. Art. 73 StBOG i.V.m. Art. 5 und 8 Abs. 1 des Reglements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