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BG.2025.28 vom 7. Mai 2025</w:t>
      </w:r>
    </w:p>
    <w:p>
      <w:r>
        <w:t>Bundesstrafgericht, 2025-05-07, DE</w:t>
      </w:r>
    </w:p>
    <w:p>
      <w:r>
        <w:rPr>
          <w:b/>
        </w:rPr>
        <w:t xml:space="preserve">Quelle: </w:t>
      </w:r>
      <w:r>
        <w:t>https://mcp.opencaselaw.ch/entscheid/bstger_BG.2025.28</w:t>
      </w:r>
    </w:p>
    <w:p>
      <w:r>
        <w:t>FR: TPF BG.2025.28 du 7 mai 2025</w:t>
      </w:r>
    </w:p>
    <w:p>
      <w:r>
        <w:t>IT: TPF BG.2025.28 del 7 maggio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 gen hat, sondern nach dem, was ihm vorgeworfen wird, das heisst, was auf- grund der Aktenlage überhaupt in Frage kommt (TPF 2019 82 E. 2.4; 2019 52 E. 2.1; 2019 28 E. 2.2).</w:t>
      </w:r>
    </w:p>
    <w:p>
      <w:r>
        <w:rPr>
          <w:b/>
        </w:rPr>
        <w:t>E. 3.1</w:t>
      </w:r>
    </w:p>
    <w:p>
      <w:r>
        <w:t>Strittig ist vorliegend, ob A. bereits den ihr als erstes Delikt vorgeworfenen Diebstahl vom 17. April 2024 in Z./SZ gewerbsmässig begangen habe. Für den Kanton Schwyz hat ihre (gewerbsmässige) Tatserie erst rund fünf Monate später eingesetzt (act. 4). Für den Kanton St. Gallen kann bei fast fünf Monaten jedoch noch nicht von einer Zäsur gesprochen werden. Die Richtlinien der SSK-Arbeitsgruppe Gerichtsstand &amp; Rechtshilfe würden dies erst ab einem zeitlichen Abstand von mehr als einem halben Jahr annehmen (act. 1 S. 4).</w:t>
      </w:r>
    </w:p>
    <w:p>
      <w:r>
        <w:rPr>
          <w:b/>
        </w:rPr>
        <w:t>E. 3.2</w:t>
      </w:r>
    </w:p>
    <w:p>
      <w:r>
        <w:t>Wer jemandem eine fremde bewegliche Sache zur Aneignung wegnimmt, um sich oder einen andern damit unrechtmässig zu bereichern, wird mit Freiheitsstrafe bis zu fünf Jahren oder Geldstrafe bestraft (Art. 139 Abs. 1 StGB). Die qualifizierten Tatvarianten des Diebstahls werden einheitlich mit</w:t>
      </w:r>
    </w:p>
    <w:p>
      <w:r>
        <w:t>- 4 -</w:t>
      </w:r>
    </w:p>
    <w:p>
      <w:r>
        <w:t>Freiheitsstrafe von sechs Monaten bis zu zehn Jahren bedroht (Art. 139 Abs. 3 StGB), darunter wer gewerbsmässig stiehlt (Art. 139 Abs. 3 lit. a StGB).</w:t>
      </w:r>
    </w:p>
    <w:p>
      <w:r>
        <w:rPr>
          <w:b/>
        </w:rPr>
        <w:t>E. 3.3</w:t>
      </w:r>
    </w:p>
    <w:p>
      <w:r>
        <w:t>Die schwerste Tat im gerichtsstandsrechtlichen Sinn ist diejenige mit der höchsten abstrakten gesetzlichen Strafdrohung, wobei Qualifizierungs- und Privilegierungselemente des besonderen Teils des StGB, welche den Straf- rahmen verändern, zu berücksichtigen sind (Beschluss des Bundesstrafge- richts BG.2010.14 vom 20. September 2010 E. 2.1). Bei gleichen Höchst- strafen ist dasjenige Delikt mit der höchsten gesetzlichen Mindeststrafe entscheidend. Bei Vorliegen von zwei oder mehreren mit gleichen Höchst- und Mindeststrafen bedrohten Delikten, welche teilweise versucht begangen wurden, ist der Privilegierungsgrund des Versuchs grundsätzlich zu beach- ten (Beschluss des Bundesstrafgerichts BG.2013.8 vom 30. April 2013 E. 2.1).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gelegentlich auch als «Kollektivdelikt» bezeichnet wird (differenzierend GODENZI, Strafbare Beteiligung am krimi- nellen Kollektiv, 2015, S. 9; vgl. auch Beschlüsse des Bundesstrafgerichts BG.2024.75 vom 26. Februar 2025 E. 2.2; BG.2024.56 vom 17. Oktober 2024 E. 4.1). Diese rechtliche Einheit besteht objektiv in gleich gelagerten Handlungen, die gegen das gleiche Rechtsgut gerichtet sind, an verschiede- nen Orten begangen werden können, jedoch in einem zeitlichen Zusammen- hang stehen und subjektiv auf einem alle Handlungen umfassenden Ent- schluss bzw. einem Gesamtvorsatz beruhen. Alle einem Beschuldigten Last gelegten versuchten oder vollendeten Verfehlungen sind gleich zu behan- deln und haben als mit gleicher Strafe bedroht zu gelten. Keine Handlungs- einheit, sondern blosse Handlungsmehrheit liegt dann vor, wenn ein Einzel- akt mit den übrigen gewerbs- oder bandenmässig begangenen Delikten kei- nen Zusammenhang hat bzw. wenn hinsichtlich des Einzelaktes die für des- sen Qualifikation notwendigen gesetzlichen Voraussetzungen nicht vorlie- gen (Beschlüsse des Bundesstrafgerichts BG.2024.75 vom 26. Februar 2025 E. 2.2; BG.2019.20 vom 24. ApriI 2019 E. 3.2; BG.2014.17 vom 10. Juli 2014 E. 2.3; BG.2012.7 vom 16. März 2012 E. 3.2; BG.2010.14 vom 20. Sep- tember 2010 E. 2.2; SCHWERI/BÄNZIGER, Interkantonale Gerichtsstandsbe- stimmung in Strafsachen, 2. Aufl. 2004, N. 83–85, 295). Die Handlungsein- heit wirkt sich bei der Gerichtsstandsbestimmung in dem Sinne aus, dass alle dem Täter unter dem Titel des gewerbsmässigen Delikts zur Last geleg- ten Verfehlungen gleich zu behandeln sind. Gemäss Art. 31 Abs. 2 StPO</w:t>
      </w:r>
    </w:p>
    <w:p>
      <w:r>
        <w:t>- 5 -</w:t>
      </w:r>
    </w:p>
    <w:p>
      <w:r>
        <w:t>sind in einem solchen Fall die Behörden jenes Ortes zur Verfolgung zustän- dig, wo die Untersuchung zuerst angehoben wurde (BGE 112 IV 61 E. 1).</w:t>
      </w:r>
    </w:p>
    <w:p>
      <w:r>
        <w:rPr>
          <w:b/>
        </w:rPr>
        <w:t>E. 3.4</w:t>
      </w:r>
    </w:p>
    <w:p>
      <w:r>
        <w:t>Der Ansatzpunkt für die Bestimmung der Gewerbsmässigkeit liegt nach der Rechtsprechung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129 IV 188 E. 3.1.2; 119 IV 129 E. 3a; Urteile des Bundesgerichts 6B_1311/2017 vom 23. August 2018 E. 3.3; 6B_488/2016 vom 5. September 2016 E. 4.2).</w:t>
      </w:r>
    </w:p>
    <w:p>
      <w:r>
        <w:rPr>
          <w:b/>
        </w:rPr>
        <w:t>E. 3.5</w:t>
      </w:r>
    </w:p>
    <w:p>
      <w:r>
        <w:t>Vorliegend ist angesichts der A. vorgeworfenen bedeutenden Deliktssumme von Fr. 93'000.-- innerhalb von rund acht Monaten und des gleichen Vorge- hens in dubio pro duriore von einem gewerbsmässigen Diebstahl bereits beim Schwyzer Delikt vom 17. April 2024 auszugehen. Von einer Zäsur kann angesichts des noch relativ kurzen Zeitraums nicht gesprochen werden. Dies führt zur Zuständigkeit des Kantons Schwyz. Dort liegt nach Art. 33 Abs. 1 StPO auch die Zuständigkeit für die als Teilnehmerin erscheinende D.</w:t>
      </w:r>
    </w:p>
    <w:p>
      <w:r>
        <w:rPr>
          <w:b/>
        </w:rPr>
        <w:t>E. 3.6</w:t>
      </w:r>
    </w:p>
    <w:p>
      <w:r>
        <w:t>Zusammenfassend sind nach Art. 31 Abs. 2 StPO die Strafbehörden des Kantons Schwyz für berechtigt und verpflichtet zu erklären, die A. und D. zur Last gelegten Straftaten zu verfolgen und zu beurteilen.</w:t>
      </w:r>
    </w:p>
    <w:p>
      <w:r>
        <w:rPr>
          <w:b/>
        </w:rPr>
        <w:t>E. 4</w:t>
      </w:r>
    </w:p>
    <w:p>
      <w:r>
        <w:t>Praxisgemäss ist bei interkantonalen Gerichtsstandskonflikten in der Regel keine Gerichtsgebühr zu erheben (TPF 2023 130 E. 5.1).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