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BG.2025.27 vom 9. April 2025</w:t>
      </w:r>
    </w:p>
    <w:p>
      <w:r>
        <w:t>Bundesstrafgericht, 2025-04-09, DE</w:t>
      </w:r>
    </w:p>
    <w:p>
      <w:r>
        <w:rPr>
          <w:b/>
        </w:rPr>
        <w:t xml:space="preserve">Quelle: </w:t>
      </w:r>
      <w:r>
        <w:t>https://mcp.opencaselaw.ch/entscheid/bstger_BG.2025.27</w:t>
      </w:r>
    </w:p>
    <w:p>
      <w:r>
        <w:t>FR: TPF BG.2025.27 du 9 avril 2025</w:t>
      </w:r>
    </w:p>
    <w:p>
      <w:r>
        <w:t>IT: TPF BG.2025.27 del 9 aprile 2025</w:t>
      </w:r>
    </w:p>
    <w:p>
      <w:pPr>
        <w:pStyle w:val="Heading2"/>
      </w:pPr>
      <w:r>
        <w:t>Regeste</w:t>
      </w:r>
    </w:p>
    <w:p>
      <w:r>
        <w:t>Anfechtung des Gerichtsstands (Art. 41 Abs. 2 StPO)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März 2025 zugestellt worden sei, sie erst mit deren Empfang am 28. März</w:t>
      </w:r>
    </w:p>
    <w:p>
      <w:r>
        <w:t>- 4 -</w:t>
      </w:r>
    </w:p>
    <w:p>
      <w:r>
        <w:t>2025 Kenntnis vom Luzerner Verfahren erhalten habe und nicht über eine allfällige Absprache zwischen den StA LU und StA VD informiert worden sei; ein formeller Entscheid über den Gerichtsstand ergangen sei und der Ge- richtsstand nach Art. 31 Abs. 1 StPO bestimmt worden sei; mithin keine der zwei Bedingungen erfüllt sei, zufolge deren die Partei, welche die Zuständig- keit anfechten wolle, zunächst die Überweisung des Falls beantragen müsste; sie daher befugt sei, die Verfügung der StA LU vom 27. März 2025 direkt bei der Beschwerdekammer anzufechten (act. 1 S. 2 f. mit Hinweis auf Urteil des Bundesgerichts 1B_532/2018 vom 19. Dezember 2018 E. 6.1 und BOUVERAT, Commentaire romand, 2. Aufl. 2019, Art. 41 StPO N. 3 f.);</w:t>
      </w:r>
    </w:p>
    <w:p>
      <w:r>
        <w:t>- die Beschwerdeführerin weiter geltend macht, ihre Tochter und Beiständin habe im Übrigen mit E-Mail vom 2. April 2025 an die StA LU sinngemäss der mit dem Strafverfahren befassten Behörde die Überweisung des Falls an die zuständige Strafbehörde beantragt, weshalb diese Bedingung erfüllt wäre; die StA LU ihre E-Mail vom 2. April 2025 bis zum 7. April 2025 nicht beant- wortet habe (act. 1 S. 3);</w:t>
      </w:r>
    </w:p>
    <w:p>
      <w:r>
        <w:t>- diese Vorbringen keinen Anlass geben, die ständige Rechtsprechung der Beschwerdekammer in Frage zu stellen (zu den Voraussetzungen für eine Praxisänderung BGE 149 II 381 E. 7.3.1; 149 II 354 E. 2.3; 149 V 177 E. 4.5);</w:t>
      </w:r>
    </w:p>
    <w:p>
      <w:r>
        <w:t>- die vorliegende, von der Beschwerdeführerin angefochtene Einigung betref- fend Zuständigkeit zwischen den Beschwerdegegnerinnen interner Natur ist und nicht direkt angefochten werden kann;</w:t>
      </w:r>
    </w:p>
    <w:p>
      <w:r>
        <w:t>- nach dem Gesagten auf die offensichtlich unzulässige Beschwerde ohne Schriftenwechsel nicht einzutreten ist (Art. 390 Abs. 2 StPO e contrario); dar- über gestützt auf Art. 388 Abs. 2 lit. a StPO der Einzelrichter entscheidet (vgl. Verfügungen des Bundesstrafgerichts BG.2024.58 vom 8. Oktober 2024; BG.2024.57 vom 4. Oktober 2024; BG.2024.8 vom 12. März 2024; BG.2024.1 vom 15. Januar 2024);</w:t>
      </w:r>
    </w:p>
    <w:p>
      <w:r>
        <w:t>- die Eingabe der Beschwerdeführerin vom 7. April 2025 zuständigkeitshalber an die StA LU weiterzuleiten ist (vgl. Art. 91 Abs. 4 StPO);</w:t>
      </w:r>
    </w:p>
    <w:p>
      <w:r>
        <w:t>- mangels nennenswerten Aufwands ausnahmsweise keine Gerichtsgebühr zu erheben ist (vgl. Art. 73 Abs. 2 StBOG sowie Art. 5 BStKR);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