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BG.2025.20 vom 28. Mai 2025</w:t>
      </w:r>
    </w:p>
    <w:p>
      <w:r>
        <w:t>Bundesstrafgericht, 2025-05-28, DE</w:t>
      </w:r>
    </w:p>
    <w:p>
      <w:r>
        <w:rPr>
          <w:b/>
        </w:rPr>
        <w:t xml:space="preserve">Quelle: </w:t>
      </w:r>
      <w:r>
        <w:t>https://mcp.opencaselaw.ch/entscheid/bstger_BG.2025.20</w:t>
      </w:r>
    </w:p>
    <w:p>
      <w:r>
        <w:t>FR: TPF BG.2025.20 du 28 mai 2025</w:t>
      </w:r>
    </w:p>
    <w:p>
      <w:r>
        <w:t>IT: TPF BG.2025.20 del 28 maggio 2025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geben keinen Anlass zu Bemerkungen. Auf das Gesuch ist einzutre- ten.</w:t>
      </w:r>
    </w:p>
    <w:p>
      <w:r>
        <w:rPr>
          <w:b/>
        </w:rPr>
        <w:t>E. 2</w:t>
      </w:r>
    </w:p>
    <w:p>
      <w:r>
        <w:t>In Gerichtsstandsverfahren gilt der aus dem Legalitätsprinzip fliessende Grundsatz «in dubio pro duriore» (BGE 138 IV 186 E. 4.1). Daraus leitet sich für die Bestimmung des Gerichtsstandes ab, dass im Zweifelsfall auf den für den Beschuldigten ungünstigeren Sachverhalt abzustellen bzw. das schwe- rere Delikt anzunehmen ist (TPF 2016 180 E. 2.2). Massgeblich ist nicht, was der beschuldigten Person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w:t>
      </w:r>
    </w:p>
    <w:p>
      <w:r>
        <w:t>- 5 -</w:t>
      </w:r>
    </w:p>
    <w:p>
      <w:r>
        <w:t>der Aktenlage überhaupt in Frage kommt (TPF 2019 82 E. 2.4; 2019 52 E. 2.1; 2019 28 E. 2.2).</w:t>
      </w:r>
    </w:p>
    <w:p>
      <w:r>
        <w:rPr>
          <w:b/>
        </w:rPr>
        <w:t>E. 3.1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3.2</w:t>
      </w:r>
    </w:p>
    <w:p>
      <w:r>
        <w:t>Brandstiftung begeht, wer vorsätzlich zum Schaden eines andern oder unter Herbeiführung einer Gemeingefahr eine Feuersbrunst verursacht. Der Täter wird mit Freiheitsstrafe nicht unter einem Jahr bestraft (Art. 221 Abs. 1 StGB). Bringt der Täter wissentlich Leib und Leben von Menschen in Gefahr, so ist die Strafe Freiheitsstrafe nicht unter drei Jahren (Art. 221 Abs. 2 StGB). Ist nur ein geringer Schaden entstanden, so kann auf Freiheitsstrafe bis zu drei Jahren oder Geldstrafe erkannt werden (Art. 221 Abs. 3 StGB).</w:t>
      </w:r>
    </w:p>
    <w:p>
      <w:r>
        <w:rPr>
          <w:b/>
        </w:rPr>
        <w:t>E. 3.3</w:t>
      </w:r>
    </w:p>
    <w:p>
      <w:r>
        <w:t>Das Bundesgericht führte zur wissentlichen, konkreten Gefährdung von Menschen was folgt aus:</w:t>
      </w:r>
    </w:p>
    <w:p>
      <w:r>
        <w:t>Die qualifizierte Brandstiftung im Sinne von Art. 221 Abs. 2 StGB ist als dritte Variante der strafbaren vorsätzlichen Brandstiftung aufzufassen. Ihr kommt selbständige Bedeutung zu (BGE 123 IV 128 E. 2b S. 131). Mithin tritt an die Stelle des Schadens respektive der Gemeingefahr im Sinne von Art. 221 Abs. 1 StGB die Gefahr der Verletzung von Leib und Leben (Urteil des Bun- desgerichts 6B_154/2012 vom 25. September 2012 E. 4.4.1). Der qualifi- zierte Tatbestand von Abs. 2 setzt voraus, dass Leib und Leben von Men- schen tatsächlich konkret gefährdet wurden; eine bloss abstrakte Gefahr reicht nicht aus. Erforderlich ist zudem, dass der Täter im Sinne des direkten Vorsatzes um diese konkrete Gefährdung weiss und sie auch will; es genügt mithin nicht, dass er im Sinn des Eventualvorsatzes eine konkrete Gefähr- dung von Leib und Leben für möglich hält und sie in Kauf nimmt. Wer aber mit Wissen und Willen einen Zustand schafft, aus dem sich eine Gefahr ergibt, die er kennt, der will notwendig auch diese Gefahr (BGE 123 IV 128 E. 2a S. 131 f.; 117 IV 285; 106 IV 127 E. 4 S. 131 f.; vgl. auch Urteil des Bundesgerichts 6B_725/2017 vom 4. April 2018 E. 1.3).</w:t>
      </w:r>
    </w:p>
    <w:p>
      <w:r>
        <w:t>Es genügt nicht, dass Menschen gefährdet worden wären, wenn das Feuer später, als es tatsächlich geschah, entdeckt bzw. gelöscht worden wäre.</w:t>
      </w:r>
    </w:p>
    <w:p>
      <w:r>
        <w:t>- 6 -</w:t>
      </w:r>
    </w:p>
    <w:p>
      <w:r>
        <w:t>Massgebend ist insoweit nicht, was alles hätte geschehen können, sondern einzig, was sich tatsächlich ereignet hat. Wurde etwa dank rascher Hilfeleis- tung niemand konkret gefährdet, so kommt, sofern die subjektiven Tatbe- standsmerkmale erfüllt sind, allenfalls eine Verurteilung wegen versuchter qualifizierter Brandstiftung in Betracht (BGE 123 IV 128 E. 2a S. 131 f.; vgl. auch Urteile des Bundesgerichts 6B_1000/2017 vom 25. Oktober 2017 E. 2.2; 6B_913/2016 vom 13. April 2017 E. 1.1.1 zum Vorsatz ersten und zweiten Grades bei Brandstiftung).</w:t>
      </w:r>
    </w:p>
    <w:p>
      <w:r>
        <w:rPr>
          <w:b/>
        </w:rPr>
        <w:t>E. 3.4</w:t>
      </w:r>
    </w:p>
    <w:p>
      <w:r>
        <w:t>Vorliegend ist unbestritten, dass gegenüber dem Raub (Art. 140 Abs. 1 StGB, Freiheitsstrafe von sechs Monaten bis zu zehn Jahren; Kanton Schwyz) die Brandstiftungen (Kantone Luzern, Obwalden) unter der schwersten Strafandrohung stehen, sowohl was die Höchst- wie auch die Mindeststrafe betrifft (vgl. obige Erwägung 3.2). Die Zuständigkeit des Kan- tons Schwyz fällt damit ausser Betracht. Die Brandstiftungen sind vorliegend gerichtsstandsbestimmend (Art. 34 Abs. 1 StPO) und zwar unabhängig davon, ob sie nach Art. 221 Abs. 1 oder Abs. 2 StGB zu qualifizieren sind. Dies kann immerhin entscheiden, ob Luzern oder Obwalden zuständig ist.</w:t>
      </w:r>
    </w:p>
    <w:p>
      <w:r>
        <w:t>Massgebend ist insoweit nicht, was alles hätte geschehen können, sondern einzig, was sich tatsächlich ereignet hat. Der Täter in X./OW versuchte, einen Haufen mit frischem Holz beim Stall anzuzünden, der nicht in Brand geriet. Auch der Stall selbst hat sich nicht entzündet. Nicht entscheidend ist, dass der Stall rund 10 Meter vom Haus entfernt stehe, wohl aber, dass der Brand- stifter nicht versuchte, das Haus selbst anzuzünden. Damit kommt aufgrund der Aktenlage auch in dubio pro duriore eine wissentliche (konkrete) Gefähr- dung von Menschen und damit das qualifizierte Delikt des Art. 221 Abs. 2 StGB nicht in Betracht. Für die Bestimmung des Gerichtsstands ist somit vom Tatbestand des Art. 221 Abs. 1 StGB als dem Delikt unter der schwers- ten Strafandrohung auszugehen. Im Kanton Luzern geschahen die ersten Verfolgungshandlungen hinsichtlich der mutmasslichen Brandstiftungen.</w:t>
      </w:r>
    </w:p>
    <w:p>
      <w:r>
        <w:t>Strittig ist jedoch, ob A. überhaupt verdächtigt werden kann, den Brand des Schützenhauses bewirkt zu haben und die Brandstiftungen damit an einem Gerichtsstand zu verfolgen sind. Die Luzerner Kantonspolizei verfügt über Videoaufnahmen und A. befindet sich im vorzeitigen Strafvollzug. Die StA LU ordnete am 16. August 2024 an, dass die Kantonspolizei «bis auf Weite- res» keine weiteren Ermittlungshandlungen vorzunehmen habe (Rapport der Luzerner Polizei vom 29. August 2024, S. 11). Der Kanton Obwalden weist überzeugend auf einige Indizien hin, die für eine Identität des mutmasslichen Brandstifters am Schützenhaus mit A. sprechen: die örtliche und zeitliche Nähe zu anderen Brandstiftungen und dass A. der E. AG gleichentags</w:t>
      </w:r>
    </w:p>
    <w:p>
      <w:r>
        <w:t>- 7 -</w:t>
      </w:r>
    </w:p>
    <w:p>
      <w:r>
        <w:t>angerufen habe (dazu elektronische Akten LU Register 4, 12). Eine Zeugin habe im Zusammenhang mit dem Brandfall des Schützenhauses namentlich geschildert, einen schwarz angezogenen Mann mit abgeschalteter Stirn- lampe gesehen zu haben (am 20. März 2024 um ca. 05.00 Uhr). Bei der spä- teren Verhaftung von A. nach den Bränden vom 9. April 2024 (Luzerner Ver- fahren SA2 24 3711 22) wurde bei ihm eine Stirnlampe sichergestellt und die Polizei habe damals bei ihm eine schwarze Regenjacke mit schwarzer Ka- puze gesehen (und fotografiert; elektronische Akten LU Register 6 Verzeich- nis vom 10.04.2024, Erledigungsbericht vom 17.04.2024 S. 3, elektronische Akten LU Register 12 S. 56 mit Foto S. 61). In dieser Situation kann eine Täterschaft von A. beim Brand des Schützenhauses in Z./LU nicht ausge- schlossen werden; sie kommt bei der Bestimmung des Gerichtsstands in du- bio pro duriore vielmehr in Betracht. Damit ist ein Gerichtsstand für die Vor- würfe gegen A. festzulegen und zwar im Kanton Luzern, da dort die ersten Verfolgungshandlungen unternommen wurden.</w:t>
      </w:r>
    </w:p>
    <w:p>
      <w:r>
        <w:rPr>
          <w:b/>
        </w:rPr>
        <w:t>E. 3.5</w:t>
      </w:r>
    </w:p>
    <w:p>
      <w:r>
        <w:t>Zusammenfassend sind nach Art. 34 Abs. 1 StPO die Strafbehörden des Kantons Luzern für berechtigt und verpflichtet zu erklären, die A. zur Last gelegten Straftaten zu verfolgen und zu beurteilen.</w:t>
      </w:r>
    </w:p>
    <w:p>
      <w:r>
        <w:rPr>
          <w:b/>
        </w:rPr>
        <w:t>E. 4</w:t>
      </w:r>
    </w:p>
    <w:p>
      <w:r>
        <w:t>Praxisgemäss ist bei interkantonalen Gerichtsstandskonflikten in der Regel keine Gerichtsgebühr zu erheben (TPF 2023 130 E. 5.1).</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