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BG.2025.2 vom 9. Mai 2025</w:t>
      </w:r>
    </w:p>
    <w:p>
      <w:r>
        <w:t>Bundesstrafgericht, 2025-05-09, DE</w:t>
      </w:r>
    </w:p>
    <w:p>
      <w:r>
        <w:rPr>
          <w:b/>
        </w:rPr>
        <w:t xml:space="preserve">Quelle: </w:t>
      </w:r>
      <w:r>
        <w:t>https://mcp.opencaselaw.ch/entscheid/bstger_BG.2025.2</w:t>
      </w:r>
    </w:p>
    <w:p>
      <w:r>
        <w:t>FR: TPF BG.2025.2 du 9 mai 2025</w:t>
      </w:r>
    </w:p>
    <w:p>
      <w:r>
        <w:t>IT: TPF BG.2025.2 del 9 maggio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w:t>
      </w:r>
    </w:p>
    <w:p>
      <w:r>
        <w:t>- 7 -</w:t>
      </w:r>
    </w:p>
    <w:p>
      <w:r>
        <w:t>i.V.m. Art. 37 Abs. 1 StBOG). Die Behörden, welche berechtigt sind, ihren Kanton im Meinungsaustausch und im Verfahren vor der Beschwerdekam- mer zu vertreten, bestimmen sich nach dem jeweiligen kantonalen Recht (Art. 14 Abs. 4 StPO).</w:t>
      </w:r>
    </w:p>
    <w:p>
      <w:r>
        <w:rPr>
          <w:b/>
        </w:rPr>
        <w:t>E. 1.2</w:t>
      </w:r>
    </w:p>
    <w:p>
      <w:r>
        <w:t>Die Eintretensvoraussetzungen (durchgeführter Meinungsaustausch zwi- schen den involvierten Kantonen und zuständigen Behörden, Frist und Form) sind vorliegend erfüllt und geben zu keinen Bemerkungen Anlass. Auf das Gesuch ist einzutreten</w:t>
      </w:r>
    </w:p>
    <w:p>
      <w:r>
        <w:rPr>
          <w:b/>
        </w:rPr>
        <w:t>E. 2.1</w:t>
      </w:r>
    </w:p>
    <w:p>
      <w:r>
        <w:t>Für die Verfolgung und Beurteilung einer Straftat sind die Behörden des Or- tes zuständig, an dem die Tat verübt worden ist (Art. 31 Abs. 1 1. Satz StPO). Liegt nur der Ort, an dem der Erfolg der Straftat eingetreten ist, in der Schweiz, so sind die Behörden dieses Ortes zuständig (Art. 31 Abs. 1 2. Satz StPO). Der Ausführungsort befindet sich dort, wo der Täter gehandelt hat (BGE 98 IV 60 E. 1 S. 62; 86 IV 222 E. 1; TPF 2021 167 E. 2.1). In der Literatur wird dieser Ort u.a. als Handlungsort (BAUMGARTNER, Die Zustän- digkeit im Strafverfahren, 2014, S. 60) oder als Ausführungsort bezeichnet (SCHWERI/BÄNZIGER, Interkantonale Gerichtsstandsbestimmung in Strafsa- schen, 2. Aufl. 2004, N. 65). Ist die Straftat an mehreren Orten verübt worden, so sind die Behörden des Ortes zuständig, an dem zuerst Verfolgungshandlungen vorgenommen wor- den sind (sog. forum praeventionis; Art. 31 Abs. 2 StPO).</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(Art. 34 Abs. 1 Satz 1 StPO). Bei gleicher Strafdro- hung sind die Behörden des Ortes zuständig, an dem zuerst Verfolgungs- handlungen vorgenommen worden sind (Art. 34 Abs. 1 Satz 2 StPO). Die schwerste Tat im gerichtsstandsrechtlichen Sinn ist diejenige mit der höchsten abstrakten gesetzlichen Strafdrohung, wobei Qualifizierungs- und Privilegierungselemente des besonderen Teils des StGB, welche den Straf- rahmen verändern, zu berücksichtigen sind (an Stelle vieler zuletzt Be- schlüsse des Bundesstrafgerichts BG.2024.68 vom 4. März 2025 E. 2.2; BG.2024.75 vom 26. Februar 2025 E. 2.1; Beschlüsse des Bundesstrafge- richts BG.2011.17 vom 15. Juli 2011 E. 3.1 bzw. BG.2012.8 vom 26. März 2012 E. 2.1 in Übernahme der Praxis zu den Gerichtsstandsregeln gemäss aArt. 340 ff. StGB nach Einführung der schweizerischen</w:t>
      </w:r>
    </w:p>
    <w:p>
      <w:r>
        <w:t>- 8 -</w:t>
      </w:r>
    </w:p>
    <w:p>
      <w:r>
        <w:t>Strafprozessordnung). Bei Vorliegen von zwei oder mehreren mit gleichen Höchst- und Mindeststrafen bedrohten Delikten, welche teilweise versucht begangen wurden, ist der Privilegierungsgrund des Versuches grundsätzlich zu beachten (Beschlüsse des Bundesstrafgerichts BG.2024.68 vom 4. März 2025 E. 2.2; BG.2025.1 vom 24. Januar 2025 E. 2.3; BG.2022.25 vom 2. No- vember 2022 E. 2.1; wie schon vor Einführung der schweizerischen Straf- prozessordnung Entscheide des Bundesstrafgerichts BK_G 031/04 vom 12. Mai 2004 E. 1.2 in fine und BG.2008.15 vom 26. September 2008 E. 2.3; vgl. auch BGE 75 IV 94). Versuchte Einzeltaten eines gewerbsmässigen oder bandenmässigen Delikts wiegen demgegenüber gleich schwer wie die vollendeten (an Stelle vieler Beschluss des Bundesstrafgerichts BG.2012.8 vom 26. März 2012 E. 2.1).</w:t>
      </w:r>
    </w:p>
    <w:p>
      <w:r>
        <w:rPr>
          <w:b/>
        </w:rPr>
        <w:t>E. 2.3</w:t>
      </w:r>
    </w:p>
    <w:p>
      <w:r>
        <w:t>Vorliegend ist streitig, ob das schwerste der im Kanton Bern zur Anzeige gebrachte Delikte, der versuchte Betrug, gerichtsstandsrechtlich leichter wiegt als die Gefährdung des Lebens bzw. die Störung des öffentlichen Ver- kehrs, die schwersten im Kanton Freiburg verfolgten Delikte. Während der Kanton Bern mit Hinweis auf die Praxis des Bundesstrafgerichts die Auffas- sung vertritt, der versuchte Betrug wiege leichter, geht der Kanton Freiburg mit Hinweis auf die überwiegende Lehre davon aus, dass der Versuch inso- fern irrelevant ist: Die abstrakte Strafdrohung sei in allen Fällen bis zu fünf Jahren Freiheitsstrafe, weil die Strafmilderung beim Versuch fakultativ sei und deshalb auch beim versuchten Betrug die Strafdrohung bis fünf Jahre reiche. In rechtlicher Hinsicht ist unstreitig, dass alle drei Delikte für den Grundtat- bestand Freiheitsstrafe bis zu fünf Jahren oder Geldstrafe vorsehen und dass die Strafmilderung für die bloss versuchte Tat gemäss Art. 22 Abs. 1 StGB fakultativ ist. Bei, wie vorliegend, identischer Maximalstrafe ist nach der Rechtsprechung des Bundesstrafgerichts und der damaligen Anklage- kammer des Bundesgerichts auf das Delikt mit der höheren Minimalstrafe abzustellen (vgl. BG.2025.1 vom 24. Januar 2025 E. 2.3, m.w.H.). Diese Argumentation geht auf den alten Leitentscheid des Bundesgerichts zurück, der sich auch für den Versuch am abstrakten Strafrahmen orientiert, jedoch integral, und nicht nur an der Höchststrafe: «Wer ein Verbrechen bloss zu begehen versucht, kann zwar mit der gleichen Strafe belegt werden wie der, der es vollendet. Das Gesetz ermächtigt aber den Richter, den für das voll- endete Delikt angedrohten Rahmen zu unterschreiten (Art. 22 StGB). Die Zulässigkeit dieser Milderung macht die Strafdrohung für den Versuch weni- ger schwer» (BGE 75 IV 94).</w:t>
      </w:r>
    </w:p>
    <w:p>
      <w:r>
        <w:t>Der Kanton Fribourg verkennt dieses Argument, wenn er damit argumentiert, dass der versuchte Betrug in abstrakter Betrachtung mit derselben Strafe</w:t>
      </w:r>
    </w:p>
    <w:p>
      <w:r>
        <w:t>- 9 -</w:t>
      </w:r>
    </w:p>
    <w:p>
      <w:r>
        <w:t>bedroht sei wie der vollendete und eine Strafmilderung nur fakultativ sei (act. 3). Damit ist an der Rechtsprechung festzuhalten, wonach die aus- schliesslich versuchte Begehung eines bestimmten Delikts bei der Prüfung und dem Vergleich der gerichtsstandsrechtlich relevanten Strafdrohungen zu berücksichtigen ist.</w:t>
      </w:r>
    </w:p>
    <w:p>
      <w:r>
        <w:t>In diesem Sinne wurden die schwersten Delikte im Kanton Freiburg began- gen. Entsprechend kommt vorliegend Satz 1 von Art. 34 Abs. 1 StPO zum Tragen und die Anwendung von Satz 2 fällt ausser Betracht.</w:t>
      </w:r>
    </w:p>
    <w:p>
      <w:r>
        <w:rPr>
          <w:b/>
        </w:rPr>
        <w:t>E. 3</w:t>
      </w:r>
    </w:p>
    <w:p>
      <w:r>
        <w:t>Nach dem Gesagten ist das Gesuch gutzuheissen und es sind die Strafbe- hörden des Kantons Freiburg für berechtigt und verpflichtet zu erklären, die B. zur Last gelegten Straftaten zu verfolgen und zu beurteilen.</w:t>
      </w:r>
    </w:p>
    <w:p>
      <w:r>
        <w:rPr>
          <w:b/>
        </w:rPr>
        <w:t>E. 4</w:t>
      </w:r>
    </w:p>
    <w:p>
      <w:r>
        <w:t>Praxisgemäss ist bei interkantonalen Gerichtsstandskonflikten keine Ge- richtsgebühr zu erheben (TPF 2023 130 E. 5.1; vgl. schon BGE 87 IV 145).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