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BG.2025.16 vom 26. Mai 2025</w:t>
      </w:r>
    </w:p>
    <w:p>
      <w:r>
        <w:t>Bundesstrafgericht, 2025-05-26, DE</w:t>
      </w:r>
    </w:p>
    <w:p>
      <w:r>
        <w:rPr>
          <w:b/>
        </w:rPr>
        <w:t xml:space="preserve">Quelle: </w:t>
      </w:r>
      <w:r>
        <w:t>https://mcp.opencaselaw.ch/entscheid/bstger_BG.2025.16</w:t>
      </w:r>
    </w:p>
    <w:p>
      <w:r>
        <w:t>FR: TPF BG.2025.16 du 26 mai 2025</w:t>
      </w:r>
    </w:p>
    <w:p>
      <w:r>
        <w:t>IT: TPF BG.2025.16 del 26 maggio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t>- 5 -</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Ist die Straftat an mehreren Orten verübt worden oder ist der Erfolg an mehreren Orten eingetreten, so sind die Behörden des Ortes zuständig, an dem zuerst Verfolgungshandlun- gen vorgenommen worden sind (Art. 31 Abs. 2 StPO). Hat eine beschuldigte Person mehrere Straftaten an verschiedenen Orten verübt, so sind für die Verfolgung und Beurteilung sämtlicher Taten die Behörden des Ortes zu- ständig, an dem die mit der schwersten Strafe bedrohte Tat begangen wor- den ist (BAUMGARTNER, Die Zuständigkeit im Strafverfahren, 2014, S. 66– 72).</w:t>
      </w:r>
    </w:p>
    <w:p>
      <w:r>
        <w:rPr>
          <w:b/>
        </w:rPr>
        <w:t>E. 2.2</w:t>
      </w:r>
    </w:p>
    <w:p>
      <w:r>
        <w:t>Der Ausführungsort geht als primärer Gerichtsstand allen anderen Gerichts- ständen vor (BAUMGARTNER, a.a.O., S. 58 m.w.H.; SCHWERI/BÄNZIGER, In- terkantonale Gerichtsstandbestimmung in Strafsachen, 2. Auf. 2004, S. 24) und befindet sich dort, wo der Täter gehandelt hat (BGE 86 IV 222 E. 1). Der Erfolgsort ist bei der Bestimmung des Gerichtsstands gegenüber dem Aus- führungsort subsidiär und gilt nur dann, wenn es sich um ein Erfolgsdelikt oder ein konkretes Gefährdungsdelikt handelt, der Ausführungsort im Aus- land liegt und der Ort des Erfolgseintritts bekannt ist und in der Schweiz liegt (vgl. Art. 31 Abs. 1 Satz 2 StPO; BGE 86 IV 222 E. 1; SCHWERI/BÄNZIGER, a.a.O., S. 24, 29, 34 f.; vgl. zum Ganzen Beschluss des Bundesstrafgerichts BG.2020.3 vom 27. Februar 2020 E. 4.1).</w:t>
      </w:r>
    </w:p>
    <w:p>
      <w:r>
        <w:rPr>
          <w:b/>
        </w:rPr>
        <w:t>E. 2.3</w:t>
      </w:r>
    </w:p>
    <w:p>
      <w:r>
        <w:t>Mehrere tatsächliche Handlungen können ausnahmsweise als Einheit zu- sammengefasst werden. Mehrere Einzelhandlungen sind rechtlich dann als Einheit anzusehen, wenn eine natürliche oder tatbestandliche Handlungs- einheit vorliegt. Eine tatbestandliche Handlungseinheit liegt vor, wenn das tatbestandsmässige Verhalten schon begrifflich, faktisch oder doch typi- scherweise mehrere Einzelhandlungen voraussetzt (BGE 132 IV 49 E. 3.1.1.3; 131 IV 83 E. 2.4.5). Von einer natürlichen Handlungseinheit wird ausgegangen, wenn mehrere Einzelhandlungen auf einem einheitlichen Wil- lensakt beruhen und wegen des engen räumlichen und zeitlichen Zusam- menhangs bei objektiver Betrachtung noch als einheitliches Geschehen er- scheinen. Dazu zählen namentlich Fälle der iterativen Tatbestandsverwirkli- chung (z.B. eine «Tracht Prügel») oder der sukzessiven Tatbegehung (z.B. Besprayen einer Mauer mit Graffiti in mehreren aufeinanderfolgenden Näch- ten). Eine natürliche Handlungseinheit fällt jedoch ausser Betracht, wenn zwischen den einzelnen Handlungen – selbst wenn diese aufeinander</w:t>
      </w:r>
    </w:p>
    <w:p>
      <w:r>
        <w:t>- 6 -</w:t>
      </w:r>
    </w:p>
    <w:p>
      <w:r>
        <w:t>bezogen sind – ein längerer Zeitraum liegt (BGE 133 IV 256 E. 4.5.3; 131 IV 83 E. 2.4.5; Urteil des Bundesgerichts 6B_783/2018 vom 6. März 2019 E. 1.5, mit Hinweisen). Ebenso ist eine natürliche Handlungseinheit zu vernei- nen, wenn in Bezug auf weitere Delinquenz jeweils ein neuer Willensent- schluss erforderlich war (Urteil des Bundesgerichts 6B_783/2018 vom</w:t>
      </w:r>
    </w:p>
    <w:p>
      <w:r>
        <w:rPr>
          <w:b/>
        </w:rPr>
        <w:t>E. 6</w:t>
      </w:r>
    </w:p>
    <w:p>
      <w:r>
        <w:t>März 2019 E. 1.6).</w:t>
      </w:r>
    </w:p>
    <w:p>
      <w:r>
        <w:t>3. 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(Beschluss des Bundesstrafgerichts BG.2016.29 vom 5. Dezem- ber 2016 E. 2.2 m.w.H). Es gilt der aus dem Legalitätsprinzip fliessende Grundsatz in dubio pro duriore (BGE 138 IV 186 E. 4.1). Daraus leitet sich für die Bestimmung des Gerichtsstandes ab, dass im Zweifelsfall auf den für den Beschuldigten ungünstigeren Sachverhalt abzustellen bzw. das schwe- rere Delikt anzunehmen ist (statt vieler: Beschluss des Bundesstrafgerichts BG.2017.19 vom 11. September 2017 E. 2.2).</w:t>
      </w:r>
    </w:p>
    <w:p>
      <w:r>
        <w:t>4.</w:t>
      </w:r>
    </w:p>
    <w:p>
      <w:r>
        <w:t>4.1 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 halten bestimmt, wodurch dieser sich selbst oder einen andern am Vermö- gen schädigt.</w:t>
      </w:r>
    </w:p>
    <w:p>
      <w:r>
        <w:t>4.2 Ein Betrug gilt als dort verübt, wo der Täter jemanden durch Vorspiegelung oder Unterdrückung von Tatsachen zu einem Verhalten bestimmt, das den sich Irrenden oder einen Dritten am Vermögen schädigt. Ausführungshand- lung des Betrugs ist jede Tätigkeit, die nicht blosse Vorbereitungshandlung ist, d.h. die nach dem Plan des Betrügers auf dem Weg zum Erfolg den ent- scheidenden Schritt bildet, von dem es in der Regel kein von äusseren Schwierigkeiten unbeeinflusstes Zurück mehr gibt (SCHWERI/BÄNZIGER, a.a.O., N. 106). Gemäss bundesgerichtlicher Rechtsprechung ist Betrug ein Erfolgsdelikt mit einem doppelten Erfolg (kupiertes Erfolgsdelikt). Der Erfolg</w:t>
      </w:r>
    </w:p>
    <w:p>
      <w:r>
        <w:t>- 7 -</w:t>
      </w:r>
    </w:p>
    <w:p>
      <w:r>
        <w:t>liegt sowohl am Ort der Entreicherung als auch am Ort, an dem die beab- sichtigte Bereicherung eingetreten ist bzw. eintreten sollte (BGE 125 IV 177 E. 2a S. 180; 124 IV 241 E. 4c; 109 IV 1 E. 3c; vgl. zum Ganzen Beschluss des Bundesstrafgerichts BG.2020.3 vom 27. Februar 2020 E. 4.2).</w:t>
      </w:r>
    </w:p>
    <w:p>
      <w:r>
        <w:t>5.</w:t>
      </w:r>
    </w:p>
    <w:p>
      <w:r>
        <w:t>5.1 Die Parteien sind sich zunächst einig, dass zur Bestimmung des Gerichts- stands im vorliegenden Fall auf den Erfolgsort abzustellen ist, da die Täter- schaft mutmasslich vom Ausland aus gehandelt hat (vgl. supra E. 2.2 sowie lit. A und B). Strittig ist hingegen, ob die Betrugshandlungen zum Nachteil der A. AG, der D. AG und der FedEX als drei einzelne Delikte anzusehen sind und daher mit Bezug auf die Zuständigkeit beim zeitlich ersten (zum Nachteil der A. AG) am Erfolgsort im Kanton St. Gallen angeknüpft werden muss oder ob die Betrugshandlungen als Handlungseinheit zu betrachten sind, mit der Folge, dass sich die Zuständigkeit an demjenigen Erfolgsort ergibt, wo die Untersuchung zuerst angehoben wurde, nämlich im Kanton Basel-Stadt (Art. 31 Abs. 1 Satz 2 und Abs. 2 StPO).</w:t>
      </w:r>
    </w:p>
    <w:p>
      <w:r>
        <w:t>5.2 Aus den Strafanzeigen und den Beilagen ergibt sich, dass die einzelnen Be- trugshandlungen in einem engen zeitlichen Zusammenhang standen und es sich um die gleiche Täterschaft handelte: «Dr. B.» stand mit der A. AG von der ersten Kontaktaufnahme am 15. August 2023 bis zur Lieferung der Ware am 8. November 2023 in Austausch. Ebenso war «E.» mit der D. AG vom 28. September 2023 bis 9. November 2023 in Kontakt (vgl. Verfahrensakten, pag. 67 ff.; pag. 112 ff.). Dabei ging es jeweils um zwei medizinische Geräte der A. AG. «E.», der mit der D. AG in Kontakt stand, wurde von «Dr. B.» in dessen E-Mails an die A. AG als Kontaktperson angegeben (Verfahrensak- ten, pag. 68, pag. 69 Rückseite, pag. 73 Rückseite). Der Betrug bestand da- rin, zwei medizinische Geräte von der A. AG an die Adresse der D. AG und von dort aus nach England geliefert zu erhalten. Damit dies gelingen konnte, waren mehrere aufeinander abgestimmte Täuschungshandlungen erforder- lich, worauf der Kanton St. Gallen in seiner Gesuchsantwort zu Recht hinge- wiesen hat. So musste nicht nur die A. AG getäuscht werden, sondern zwin- gend auch die D. AG und die FedEX. Es ist daher gestützt auf die gegen- wärtige Aktenlage ohne Weiteres davon auszugehen, dass sämtliche Täu- schungshandlungen auf einem Willensentschluss beruhten. Mithin ist vorlie- gend von einer natürlichen Handlungseinheit auszugehen, wobei der Erfolg an den jeweiligen Sitzen bzw. Standorten der Geschädigten in der Schweiz eingetreten ist.</w:t>
      </w:r>
    </w:p>
    <w:p>
      <w:r>
        <w:t>- 8 -</w:t>
      </w:r>
    </w:p>
    <w:p>
      <w:r>
        <w:t>5.3 Ist der Erfolg an mehreren Orten eingetreten, sind gestützt auf Art. 31 Abs. 2 StPO die Behörden des Ortes zuständig, an dem zuerst Verfolgungshand- lungen vorgenommen wurden. Dies geschah vorliegend im Kanton Basel- Stadt mit der Anzeigeerstattung. Der gesetzliche Gerichtsstand betreffend die der unbekannten Täterschaft zur Last gelegten Delikte liegt damit im Kan- ton Basel-Stadt.</w:t>
      </w:r>
    </w:p>
    <w:p>
      <w:r>
        <w:rPr>
          <w:b/>
        </w:rPr>
        <w:t>E. 6.1</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 ben. Eine Vereinbarung bzw. der Beschluss, einen gesetzlich nicht zustän- digen Kanton mit der Verfolgung zu betrauen, setzt triftige Gründe voraus. Die Überlegungen, welche den gesetzlichen Gerichtsstand als unzweckmäs- sig erscheinen lassen, müssen sich gebieterisch aufdrängen. Überdies kann ein Kanton entgegen dem gesetzlichen Gerichtsstand nur für zuständig er- klärt werden resp. sich selber für zuständig erklären, wenn dort tatsächlich ein örtlicher Anknüpfungspunkt besteht (TPF 2019 82 E. 2.3; 2018 38 E. 3.1; 2017 170 E. 3.1; 2012 66 E. 3.1; 2011 178 E. 3.1). Ein triftiger Grund für das Abweichen vom gesetzlichen Gerichtsstand kann im Schwergewicht der de- liktischen Tätigkeit der Beschuldigten liegen (vgl. Art. 38 Abs. 1 und Art. 40 Abs. 3 StPO). Gemäss konstanter Praxis kann von einem solchen Schwer- gewicht ausgegangen werden, wenn mehr als zwei Drittel einer grösseren Anzahl von Straftaten auf einen einzigen Kanton entfallen (BGE 129 IV 202 E. 2; TPF 2018 38 E. 3.2). Das Übergewicht muss dabei so offensichtlich und bedeutsam sein, dass sich das Abweichen vom gesetzlichen Gerichts- stand geradezu aufdrängt. Fehlt es bereits an einer grösseren Zahl der in Frage stehenden Fälle, so drängt sich ein Abweichen vom gesetzlichen Ge- richtsstand – sofern nicht weitere triftige prozessökonomische Gesichts- punkte ernsthaft in Betracht gezogen werden müssen – nicht auf (BGE 129 IV 202 E. 2; TPF 2018 38 E. 3.2).</w:t>
      </w:r>
    </w:p>
    <w:p>
      <w:r>
        <w:rPr>
          <w:b/>
        </w:rPr>
        <w:t>E. 6.2</w:t>
      </w:r>
    </w:p>
    <w:p>
      <w:r>
        <w:t>Soweit sich der Gesuchsteller zu dieser Frage äussert (vgl. supra lit. C und act. 1, S. 4), legt er in seinen Ausführungen keine triftigen Gründe im Sinne von Art. 40 Abs. 2 StPO dar, die ein Abweichen vom gesetzlichen Gerichts- stand gebieterisch aufdrängen würden. Insbesondere genügt der Hinweis auf die Höhe der Schadensumme im Kanton St. Gallen alleine nicht, um ein</w:t>
      </w:r>
    </w:p>
    <w:p>
      <w:r>
        <w:t>- 9 -</w:t>
      </w:r>
    </w:p>
    <w:p>
      <w:r>
        <w:t>Schwergewicht im Sinne der obgenannten Rechtsprechung zu begründen (vgl. SCHWERI/BÄNZIGER, a.a.O., N. 458).</w:t>
      </w:r>
    </w:p>
    <w:p>
      <w:r>
        <w:rPr>
          <w:b/>
        </w:rPr>
        <w:t>E. 7</w:t>
      </w:r>
    </w:p>
    <w:p>
      <w:r>
        <w:t>Nach dem Gesagten ist das Gesuch abzuweisen, und es sind die Strafbe- hörden des Kantons Basel-Stadt für berechtigt und verpflichtet zu erklären, die der unbekannten Täterschaft zu Last gelegten Straftaten zu verfolgen und zu beurteilen.</w:t>
      </w:r>
    </w:p>
    <w:p>
      <w:r>
        <w:rPr>
          <w:b/>
        </w:rPr>
        <w:t>E. 8</w:t>
      </w:r>
    </w:p>
    <w:p>
      <w:r>
        <w:t>Praxisgemäss ist bei interkantonalen Gerichtsstandskonflikten keine Ge- richtsgebühr zu erheben (TPF 2023 130 E. 5.1; vgl. schon BGE 87 IV 145).</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