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BG.2025.12 vom 10. März 2025</w:t>
      </w:r>
    </w:p>
    <w:p>
      <w:r>
        <w:t>Bundesstrafgericht, 2025-03-10, FR</w:t>
      </w:r>
    </w:p>
    <w:p>
      <w:r>
        <w:rPr>
          <w:b/>
        </w:rPr>
        <w:t xml:space="preserve">Quelle: </w:t>
      </w:r>
      <w:r>
        <w:t>https://mcp.opencaselaw.ch/entscheid/bstger_BG.2025.12</w:t>
      </w:r>
    </w:p>
    <w:p>
      <w:r>
        <w:t>FR: TPF BG.2025.12 du 10 mars 2025</w:t>
      </w:r>
    </w:p>
    <w:p>
      <w:r>
        <w:t>IT: TPF BG.2025.12 del 10 marzo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w:t>
      </w:r>
    </w:p>
    <w:p>
      <w:r>
        <w:t>- 4 -</w:t>
      </w:r>
    </w:p>
    <w:p>
      <w:r>
        <w:t>représenter leur canton dans le cadre de l’échange de vues ou dans la procédure devant la Cour des plaintes (art. 14 al. 4 CPP; ECHLE/KUHN, Commentaire bâlois, 3e éd. 2023, n. 9 ad art. 39 CPP et n. 10 s. ad art. 40 CPP).</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18 février 2025, soit dans les dix jours ayant suivi la notification du dernier échange de vue du 13 février 2025, la requête en fixation de for est recevable et il y a lieu d’entrer en matière.</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2.1.2</w:t>
      </w:r>
    </w:p>
    <w:p>
      <w:r>
        <w:t>Lorsqu’un canton a reconnu – expressément ou implicitement – le for, sa compétence est, en principe, irrévocablement établie. La modification ultérieure d’un for ainsi reconnu par un canton n’est plus admissible que pour des raisons valables; elle doit constituer l’exception et s’imposer en raison d’un changement de circonstances, dans l’intérêt de l’économie de procédure ou pour préserver d’autres intérêts nouvellement importants. Entrent, notamment, en ligne de compte un excès de pouvoir d’appréciation des cantons en cas de dérogation au for légal, l’absence de point de rattachement dans le canton poursuivant ou l’apparition de faits nouveaux qui imposent un changement de for pour des raisons d’économie de procédure. Il est également possible de revenir ultérieurement sur la reconnaissance implicite du for, lorsque de nouvelles connaissances ou de nouveaux développements importants devraient clairement amener à un</w:t>
      </w:r>
    </w:p>
    <w:p>
      <w:r>
        <w:t>- 5 -</w:t>
      </w:r>
    </w:p>
    <w:p>
      <w:r>
        <w:t>résultat complètement différent dans le cadre d’une nouvelle évaluation globale. Même dans ce cas, seule une modification de la situation de départ manifeste et importante peut justifier de revenir sur la décision de reconnaissance (décisions du Tribunal pénal fédéral BG.2022.15 du 7 juin 2022 consid. 4.3; BG.2022.2 du 14 avril 2022 consid. 4.3; BG.2022.7 du 23 février 2022 consid. 3.2.2 et références citées; BG.2019.45 du 16 octobre 2019 consid. 4.5; BG.2010.21 du 30 mars 2011 consid. 3.2; BG.2009.29 du 30 mars 2010 consid. 4.1; BG.2006.13 du 21 août 2006 consid. 4.1 et références citées).</w:t>
      </w:r>
    </w:p>
    <w:p>
      <w:r>
        <w:rPr>
          <w:b/>
        </w:rPr>
        <w:t>E. 2.2</w:t>
      </w:r>
    </w:p>
    <w:p>
      <w:r>
        <w:t>En l’espèce, le MP-VD conteste que la reconnaissance de sa compétence pour reprendre la procédure bâloise puisse valoir acceptation expresse ou tacite de reprise du dossier bernois, comme le retient le MP-BE.</w:t>
      </w:r>
    </w:p>
    <w:p>
      <w:r>
        <w:rPr>
          <w:b/>
        </w:rPr>
        <w:t>E. 2.2.1</w:t>
      </w:r>
    </w:p>
    <w:p>
      <w:r>
        <w:t>Le MP-VD admet avoir su, sur la base de l’extrait de casier judiciaire figurant au dossier bâlois reçu le 30 décembre 2024, qu’une procédure pénale était ouverte par le MP-BE contre A. des chefs de vol, dommages à la propriété et violation de domicile, et n’avoir pas interpelé les autorités bernoises. Il soutient cependant n’avoir eu connaissance des dates des faits s’étant déroulés sur sol bernois que le 31 janvier 2025, à réception du rapport de l’Office fédéral de la douane et de la sécurité des frontières (OFDF), suite à l’arrestation de A. (dossier vaudois, pièce n. 18; act. 1, p. 4).</w:t>
      </w:r>
    </w:p>
    <w:p>
      <w:r>
        <w:rPr>
          <w:b/>
        </w:rPr>
        <w:t>E. 2.2.2</w:t>
      </w:r>
    </w:p>
    <w:p>
      <w:r>
        <w:t>Aux actes du dossier vaudois, en l’occurrence au nombre des pièces sous cote n. 17 (décrites au bordereau des pièces comme « Dossier bâlois »), figure toutefois un document daté du 23 décembre 2024, comportant des données provenant du fichier RIPOL et mentionnant les dates des faits de la procédure bernoise, soit le 5 août 2023 (entre 00:00 et 23:59). Ce qui permet d’établir que le MP-VD savait ou devait savoir, au plus tard à réception du dossier bâlois, le 30 décembre 2024 (v. supra consid. 2.2.1), que les faits de la procédure bernoise étaient antérieurs à ceux de la sienne et n’en a pas tenu compte.</w:t>
      </w:r>
    </w:p>
    <w:p>
      <w:r>
        <w:rPr>
          <w:b/>
        </w:rPr>
        <w:t>E. 2.2.3</w:t>
      </w:r>
    </w:p>
    <w:p>
      <w:r>
        <w:t>Aucun élément nouveau ou autre motif pertinent – notamment d’économie de procédure ou de célérité – de nature à justifier de revenir sur la reprise de for du 20 janvier 2025 n’apparait, indépendamment du fait que cette décision ne concernait pas directement la procédure pénale bernoise.</w:t>
      </w:r>
    </w:p>
    <w:p>
      <w:r>
        <w:rPr>
          <w:b/>
        </w:rPr>
        <w:t>E. 3</w:t>
      </w:r>
    </w:p>
    <w:p>
      <w:r>
        <w:t>Au vu de ce qui précède, il sied de reconnaître la compétence des autorités pénales du canton de Vaud pour la poursuite et le jugement des causes</w:t>
      </w:r>
    </w:p>
    <w:p>
      <w:r>
        <w:t>- 6 -</w:t>
      </w:r>
    </w:p>
    <w:p>
      <w:r>
        <w:t>PE23.020086 et BJS 23 29828. Partant, la requête formée par le MP-VD le 18 février 2025 est rejetée.</w:t>
      </w:r>
    </w:p>
    <w:p>
      <w:r>
        <w:rPr>
          <w:b/>
        </w:rPr>
        <w:t>E. 4</w:t>
      </w:r>
    </w:p>
    <w:p>
      <w:r>
        <w:t>Selon la pratique constante, la présente décision est rendue sans frais (TPF 2023 130 consid. 5.1).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