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BG.2024.73 vom 20. Mai 2025</w:t>
      </w:r>
    </w:p>
    <w:p>
      <w:r>
        <w:t>Bundesstrafgericht, 2025-05-20, DE</w:t>
      </w:r>
    </w:p>
    <w:p>
      <w:r>
        <w:rPr>
          <w:b/>
        </w:rPr>
        <w:t xml:space="preserve">Quelle: </w:t>
      </w:r>
      <w:r>
        <w:t>https://mcp.opencaselaw.ch/entscheid/bstger_BG.2024.73</w:t>
      </w:r>
    </w:p>
    <w:p>
      <w:r>
        <w:t>FR: TPF BG.2024.73 du 20 mai 2025</w:t>
      </w:r>
    </w:p>
    <w:p>
      <w:r>
        <w:t>IT: TPF BG.2024.73 del 20 maggio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Die Behörden, welche berechtigt sind, ihren Kanton im Meinungsaustausch und im Verfahren vor der Beschwerdekam- mer zu vertreten, bestimmen sich nach dem jeweiligen kantonalen Recht (Art. 14 Abs. 4 StPO).</w:t>
      </w:r>
    </w:p>
    <w:p>
      <w:r>
        <w:rPr>
          <w:b/>
        </w:rPr>
        <w:t>E. 1.2</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Für die Verfolgung und Beurteilung einer Straftat sind die Behörden des Or- tes zuständig, an dem die Tat verübt worden ist (Art. 31 Abs. 1 StPO). Der Ausführungsort befindet sich dort, wo der Täter gehandelt hat (BGE 86 IV 222 E. 1; TPF 2021 167 E. 2.1).</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- 8 -</w:t>
      </w:r>
    </w:p>
    <w:p>
      <w:r>
        <w:rPr>
          <w:b/>
        </w:rPr>
        <w:t>E. 2.3</w:t>
      </w:r>
    </w:p>
    <w:p>
      <w:r>
        <w:t>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(differenzierend GODENZI, Strafbare Beteiligung am kriminellen Kollek- tiv, 2015, S. 9; vgl. auch Beschlüsse des Bundesstrafgerichts BG.2024.68 vom 4. März 2025 E. 2.1; BG.2024.75 vom 26. Februar 2025 E. 2.2; BG.2024.56 vom 17. Oktober 2024 E. 4.1). Diese rechtliche Einheit besteht objektiv in gleich gelagerten Handlungen, die gegen das gleiche Rechtsgut gerichtet sind, an verschiedenen Orten begangen werden können, jedoch in einem zeitlichen Zusammenhang stehen und subjektiv auf einem alle Hand- lungen umfassenden Entschluss bzw. einem Gesamtvorsatz beruhen (SCHWERI/BÄNZIGER, Interkantonale Gerichtsstandsbestimmung in Strafsa- chen, 2. Aufl. 2004, N. 83).</w:t>
      </w:r>
    </w:p>
    <w:p>
      <w:r>
        <w:t>Alle einem Beschuldigten Last gelegten versuchten oder vollendeten Verfeh- lungen sind gleich zu behandeln und haben als mit gleicher Strafe bedroht zu gelten. Keine Handlungseinheit, sondern blosse Handlungsmehrheit liegt dann vor, wenn ein Einzelakt mit den übrigen gewerbs- oder bandenmässig begangenen Delikten keinen Zusammenhang hat bzw. wenn hinsichtlich des Einzelaktes die für dessen Qualifikation notwendigen gesetzlichen Voraus- setzungen nicht vorliegen (Beschlüsse des Bundesstrafgerichts BG.2024.75 vom 26. Februar 2025 E. 2.2; BG.2019.20 vom 24. ApriI 2019 E. 3.2; BG.2014.17 vom 10. Juli 2014 E. 2.3; BG.2012.7 vom 16. März 2012 E. 3.2; BG.2010.14 vom 20. September 2010 E. 2.2; SCHWERI/BÄNZIGER, a.a.O., N. 83-85, 295). Die Handlungseinheit wirkt sich bei der Gerichtsstandsbe- stimmung in dem Sinne aus, dass alle dem Täter unter dem Titel des ge- werbsmässigen Delikts zur Last gelegten Verfehlungen gleich zu behandeln sind. Gemäss Art. 31 Abs. 2 StPO sind in einem solchen Fall die Behörden jenes Ortes zur Verfolgung zuständig, wo die Untersuchung zuerst angeho- ben wurde (BGE 112 IV 61 E. 1).</w:t>
      </w:r>
    </w:p>
    <w:p>
      <w:r>
        <w:rPr>
          <w:b/>
        </w:rPr>
        <w:t>E. 3.1</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90 Tagessätzen bestraft, wenn er gewerbsmässig stiehlt (Art. 139 Ziff. 2 StGB). Er wird mit Freiheitsstrafe von sechs Monaten bis zu zehn Jah- ren bestraft, wenn er den Diebstahl als Mitglied einer Bande ausführt, die</w:t>
      </w:r>
    </w:p>
    <w:p>
      <w:r>
        <w:t>- 9 -</w:t>
      </w:r>
    </w:p>
    <w:p>
      <w:r>
        <w:t>sich zur fortgesetzten Verübung von Raub oder Diebstahl zusammengefun- den hat (Art. 139 Ziff. 3 Abs. 1 und 2 StGB).</w:t>
      </w:r>
    </w:p>
    <w:p>
      <w:r>
        <w:rPr>
          <w:b/>
        </w:rPr>
        <w:t>E. 3.2</w:t>
      </w:r>
    </w:p>
    <w:p>
      <w:r>
        <w:t>Nach der Rechtsprechung liegt der Ansatzpunkt für die Bestimmung der Ge- werbsmässigkeit im berufsmässigen Handeln. Der Täter handelt berufsmäs- 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namhaften Beitrag an die Finanzierung seiner Lebensgestaltung darstellen. Zudem muss er die Tat bereits mehrfach begangen haben und es muss aus den gesamten Umstän- den geschlossen werden, er sei zu einer Vielzahl unter den entsprechenden Tatbestand fallender Handlungen bereit gewesen. Ob Gewerbsmässigkeit vorliegt, ist aufgrund der gesamten Umstände des konkreten Falles zu beur- teilen (BGE 129 IV 188 E. 3.1.2; 119 IV 129 E. 3a; Urteile des Bundesge- richts 6B_1311/2017 vom 23. August 2018 E. 3.3; 6B_488/2016 vom 5. Sep- tember 2016 E. 4.2; je mit Hinweisen).</w:t>
      </w:r>
    </w:p>
    <w:p>
      <w:r>
        <w:rPr>
          <w:b/>
        </w:rPr>
        <w:t>E. 4</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Als Tatsachenbasis kommen bei jedem Tatverdacht nur vorbeste- hende, objektiv begründete, konkrete Anhaltspunkte in Betracht. Dabei stützt sich die Beschwerdekammer auf Fakten, nicht auf Hypothesen. Reine Mut- massungen, generelle Vermutungen, Gerüchte, kriminalistisches Gespür, Intuition, vorstellbare Lebensvorgänge oder mathematische Wahrscheinlich- keiten reichen zur Begründung eines Tatverdachts nicht aus (vgl. ACKER- MANN, Tatverdacht und Cicero – in dubio contra suspicionem maleficii, in: Niggli/Hurtado Pozo/Queloz [Hrsg.], Festschrift für Franz Riklin, 2007, S. 326 m.w.H.; WALDER/HANSJAKOB/GUNDLACH/STRAUB, Kriminalistisches Denken, 12. Aufl. 2023, S. 134; s. auch KARNUSIAN, Der Tatverdacht und seine Quellen, in forumpoenale 2016, S. 352 und 354). Es gilt der Grundsatz in dubio pro duriore, wonach im Zweifelsfall auf den für den Beschuldigten ungünstigeren Sachverhalt abzustellen bzw. das schwerere Delikt anzunehmen ist (vgl. Be- schluss des Bundesstrafgerichts BG.2014.10 vom 10. Juni 2014 E. 2.1).</w:t>
      </w:r>
    </w:p>
    <w:p>
      <w:r>
        <w:t>- 10 -</w:t>
      </w:r>
    </w:p>
    <w:p>
      <w:r>
        <w:rPr>
          <w:b/>
        </w:rPr>
        <w:t>E. 5.1</w:t>
      </w:r>
    </w:p>
    <w:p>
      <w:r>
        <w:t>Der Gesuchsteller bejaht auch vor Gericht die Gewerbsmässigkeit für alle A. vorgeworfenen Diebstähle (act. 1; s. supra lit. G, I, K). Für den Gesuchsgeg- ner ist für die im Kanton Bern begangenen Diebstähle Gewerbsmässigkeit gegeben, aber nicht für den sechs Wochen zuvor im Kanton Solothurn be- gangenen Diebstahl (act. 3; s. supra lit. F, H, J, L).</w:t>
      </w:r>
    </w:p>
    <w:p>
      <w:r>
        <w:rPr>
          <w:b/>
        </w:rPr>
        <w:t>E. 5.2</w:t>
      </w:r>
    </w:p>
    <w:p>
      <w:r>
        <w:t>Gestützt auf den Grundsatz in dubio pro duriore und aufgrund der Vorge- schichte des Beschuldigten kann für ihn nicht ausgeschlossen werden, dass er bereits im März 2024 beim Diebstahl eines Pakets in Grenchen gewerbs- mässig handelte. Oder mit anderen Worten, dass er mit dem Vorsatz auf eine unbestimmte Zahl weiterer Diebstähle handelte und mit der Absicht, durch sein deliktisches Handeln relativ regelmässige Einnahmen zu erzielen. Daran ändert nichts, dass der konkrete Diebstahl in Grenchen nur einen ge- ringfügigen Wert betraf, zumal der Beschuldigte sich den Inhalt eines Pa- ketes aneignen wollte, dessen Wert er nicht kannte und sein Vorsatz insofern auf einen unbestimmten, auch grösseren als geringfügigen Wert zielte. Rich- tig scheint die Bejahung der Gewerbsmässigkeit bereits für den ersten Dieb- stahl in Grenchen auch in Berücksichtigung der Rechtsprechung der Be- schwerdekammer: Die Beschwerdekammer hat schon bei deutlich längeren Pausen – als den vorliegend sechs Wochen – zwischen einem ersten Delikt und einer nachfolgenden Serie die Gewerbsmässigkeit für alle Delikte kürz- lich bejaht (so u.a. bei fast fünf Monaten Pause zwischen einem ersten und den nachfolgenden Taten, vgl. Beschluss BG.2025.28 vom 7. Mai 2025), wobei entscheidend nicht die abstrakte Dauer, sondern immer die konkreten Umstände sind.</w:t>
      </w:r>
    </w:p>
    <w:p>
      <w:r>
        <w:rPr>
          <w:b/>
        </w:rPr>
        <w:t>E. 5.3</w:t>
      </w:r>
    </w:p>
    <w:p>
      <w:r>
        <w:t>Zusammenfassend ist festzuhalten, dass gerichtsstandsrechtlich von der Gewerbsmässigkeit aller angezeigten Diebstähle auszugehen ist, was in An- wendung von Art. 31 Abs. 2 StPO zur Zuständigkeit des Kantons Solothurn führt.</w:t>
      </w:r>
    </w:p>
    <w:p>
      <w:r>
        <w:rPr>
          <w:b/>
        </w:rPr>
        <w:t>E. 6</w:t>
      </w:r>
    </w:p>
    <w:p>
      <w:r>
        <w:t>Nach dem Gesagten ist das Gesuch gutzuheissen und es sind die Strafbe- hörden des Kantons Solothurn für berechtigt und verpflichtet zu erklären, die A. zur Last gelegten Straftaten zu verfolgen und zu beurteilen.</w:t>
      </w:r>
    </w:p>
    <w:p>
      <w:r>
        <w:rPr>
          <w:b/>
        </w:rPr>
        <w:t>E. 7</w:t>
      </w:r>
    </w:p>
    <w:p>
      <w:r>
        <w:t>Praxisgemäss ist bei interkantonalen Gerichtsstandskonflikten keine Ge- richtsgebühr zu erheben (TPF 2023 130 E. 5.1; vgl. schon BGE 87 IV 145).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