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BG.2024.68 vom 4. März 2025</w:t>
      </w:r>
    </w:p>
    <w:p>
      <w:r>
        <w:t>Bundesstrafgericht, 2025-03-04, DE</w:t>
      </w:r>
    </w:p>
    <w:p>
      <w:r>
        <w:rPr>
          <w:b/>
        </w:rPr>
        <w:t xml:space="preserve">Quelle: </w:t>
      </w:r>
      <w:r>
        <w:t>https://mcp.opencaselaw.ch/entscheid/bstger_BG.2024.68</w:t>
      </w:r>
    </w:p>
    <w:p>
      <w:r>
        <w:t>FR: TPF BG.2024.68 du 4 mars 2025</w:t>
      </w:r>
    </w:p>
    <w:p>
      <w:r>
        <w:t>IT: TPF BG.2024.68 del 4 marzo 2025</w:t>
      </w:r>
    </w:p>
    <w:p>
      <w:pPr>
        <w:pStyle w:val="Heading2"/>
      </w:pPr>
      <w:r>
        <w:t>Regeste</w:t>
      </w:r>
    </w:p>
    <w:p>
      <w:r>
        <w:t>Gerichtsstandskonflikt (Art. 40 Abs. 2 StPO)</w:t>
      </w:r>
    </w:p>
    <w:p>
      <w:pPr>
        <w:pStyle w:val="Heading2"/>
      </w:pPr>
      <w:r>
        <w:t>Erwägungen</w:t>
      </w:r>
    </w:p>
    <w:p>
      <w:r>
        <w:rPr>
          <w:b/>
        </w:rPr>
        <w:t>E. 1.1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u.a. Beschluss des Bundesstrafgerichts BG.2016.22 vom 25. August 2016 E. 2.2 m.w.H.).</w:t>
      </w:r>
    </w:p>
    <w:p>
      <w:r>
        <w:t>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allerdings, dass mit allen ernsthaft in Frage kommenden Kan- tonen ein Meinungsaustausch durchgeführt wurde (Beschluss des Bundes- strafgerichts BG.2013.31 vom 27. Februar 2014 E. 1.1 und 2.3; SCHWERI/BÄNZIGER, Interkantonale Gerichtsstandsbestimmung in Strafsa- chen, 2. Aufl. 2004, N. 599).</w:t>
      </w:r>
    </w:p>
    <w:p>
      <w:r>
        <w:t>- 10 -</w:t>
      </w:r>
    </w:p>
    <w:p>
      <w:r>
        <w:rPr>
          <w:b/>
        </w:rPr>
        <w:t>E. 1.2</w:t>
      </w:r>
    </w:p>
    <w:p>
      <w:r>
        <w:t>Der Ausführungsort oder Tatort geht als primärer Gerichtsstand allen ande- ren Gerichtsständen vor und befindet sich dort, wo der Täter gehandelt hat (BGE 144 IV 265 E. 2.7.2; 86 IV 222 E. 1; BAUMGARTNER, Die Zuständigkeit im Strafverfahren, 2014, S. 58 f., 85; SCHWERI/BÄNZIGER, a.a.O., N. 59 f.). Der Erfolgsort ist bei der Bestimmung des Gerichtsstands gegenüber dem Ausführungsort subsidiär und gilt nur dann, wenn es sich um ein Erfolgsdelikt oder ein konkretes Gefährdungsdelikt handelt, der Ort des Erfolgseintritts bekannt ist und in der Schweiz liegt (vgl. Art. 31 Abs. 1 Satz 2 StPO; BGE 86 IV 222 E. 1; SCHWERI/BÄNZIGER, a.a.O., N. 60, 78, 95 ff.).</w:t>
      </w:r>
    </w:p>
    <w:p>
      <w:r>
        <w:rPr>
          <w:b/>
        </w:rPr>
        <w:t>E. 1.3</w:t>
      </w:r>
    </w:p>
    <w:p>
      <w:r>
        <w:t>Der Kanton Basel-Stadt (Gesuchsgegner) erachtet die Angelegenheit in zweifacher Hinsicht als nicht entscheidungsreif. Seiner Ansicht nach kommt aufgrund der Vertragsunterzeichnung in U./AG ein Gerichtsstand im Kanton Aargau in Frage. Ein Meinungsaustausch habe jedoch mit der Oberstaats- anwaltschaft des Kantons Aargau nicht stattgefunden (act. 3 und 7). Sodann sei der Begehungsort der Urkundenfälschung nicht abgeklärt worden.</w:t>
      </w:r>
    </w:p>
    <w:p>
      <w:r>
        <w:t>Wie nachfolgend zu zeigen sein wird, bestehen gegenwärtig keine Anhalts- punkte für gerichtsstandsrelevante Handlungen in den Kantonen Aargau und Basel-Landschaft (Gesuchsteller). Den Vorbringen des Kantons Basel-Stadt kann vorliegend nicht gefolgt werden.</w:t>
      </w:r>
    </w:p>
    <w:p>
      <w:r>
        <w:rPr>
          <w:b/>
        </w:rPr>
        <w:t>E. 1.4</w:t>
      </w:r>
    </w:p>
    <w:p>
      <w:r>
        <w:t>Die übrigen Eintretensvorsaussetzungen geben zu keinen Bemerkungen An- lass, sodass auf das Gesuch einzutreten ist.</w:t>
      </w:r>
    </w:p>
    <w:p>
      <w:r>
        <w:rPr>
          <w:b/>
        </w:rPr>
        <w:t>E. 2.1</w:t>
      </w:r>
    </w:p>
    <w:p>
      <w:r>
        <w:t>Für die Verfolgung und Beurteilung einer Straftat sind die Behörden des Or- tes zuständig, an dem die Tat verübt worden ist (Art. 31 Abs. 1 1. Satz StPO). Liegt nur der Ort, an dem der Erfolg der Straftat eingetreten ist, in der Schweiz, so sind die Behörden dieses Ortes zuständig (Art. 31 Abs. 1 2. Satz StPO). Der Ausführungsort befindet sich dort, wo der Täter gehandelt hat (BGE 98 IV 60 E. 1 S. 62; 86 IV 222 E. 1; TPF 2021 167 E. 2.1). In der Literatur wird dieser Ort u.a. als Handlungsort (BAUMGARTNER, a.a.O., S. 60) oder als Aus- führungsort bezeichnet (SCHWERI/BÄNZIGER, a.a.O., N. 65).</w:t>
      </w:r>
    </w:p>
    <w:p>
      <w:r>
        <w:t>Ist die Straftat an mehreren Orten verübt worden, so sind die Behörden des Ortes zuständig, an dem zuerst Verfolgungshandlungen vorgenommen wor- den sind (sog. forum praeventionis; Art. 31 Abs. 2 StPO).</w:t>
      </w:r>
    </w:p>
    <w:p>
      <w:r>
        <w:t>Bei der rechtlichen Handlungseinheit werden mehrere selbständig strafbare Handlungen im Sinne einer natürlichen Handlungsmehrheit durch ihre ge- setzliche Umschreibung im Tatbestand (gewerbsmässiges oder banden-</w:t>
      </w:r>
    </w:p>
    <w:p>
      <w:r>
        <w:t>- 11 -</w:t>
      </w:r>
    </w:p>
    <w:p>
      <w:r>
        <w:t>mässiges Delikt oder Dauerdelikt) zu einer rechtlichen oder juristischen Handlungseinheit verschmolzen, die gelegentlich auch als «Kollektivdelikt» bezeichnet wird (differenzierend GODENZI, Strafbare Beteiligung am krimi- nellen Kollektiv, 2015, S. 9; vgl. auch Beschlüsse des Bundesstrafgerichts BG.2024.75 vom 26. Februar 2025 E. 2.2; BG.2024.56 vom 17. Oktober 2024 E. 4.1). Diese rechtliche Einheit besteht objektiv in gleich gelagerten Hand- lungen, die gegen das gleiche Rechtsgut gerichtet sind, an verschiedenen Orten begangen werden können, jedoch in einem zeitlichen Zusammenhang stehen und subjektiv auf einem alle Handlungen umfassenden Entschluss bzw. einem Gesamtvorsatz beruhen. Alle einem Beschuldigten Last geleg- ten versuchten oder vollendeten Verfehlungen sind gleich zu behandeln und haben als mit gleicher Strafe bedroht zu gelten. Keine Handlungseinheit, sondern blosse Handlungsmehrheit liegt dann vor, wenn ein Einzelakt mit den übrigen gewerbs- oder bandenmässig begangenen Delikten keinen Zu- sammenhang hat bzw. wenn hinsichtlich des Einzelaktes die für dessen Qualifikation notwendigen gesetzlichen Voraussetzungen nicht vorliegen (Beschlüsse des Bundesstrafgerichts BG.2024.75 vom 26. Februar 2025 E. 2.2; BG.2019.20 vom 24. ApriI 2019 E. 3.2; BG.2014.17 vom 10. Juli 2014 E. 2.3; BG.2012.7 vom 16. März 2012 E. 3.2; BG.2010.14 vom 20. Septem- ber 2010 E. 2.2; SCHWERI/BÄNZIGER, a.a.O., N. 83-85, 295). Die Handlungs- einheit wirkt sich bei der Gerichtsstandsbestimmung in dem Sinne aus, dass alle dem Täter unter dem Titel des gewerbsmässigen Delikts zur Last gelegten Verfehlungen gleich zu behandeln sind. Gemäss Art. 31 Abs. 2 StPO sind in einem solchen Fall die Behörden jenes Ortes zur Verfolgung zuständig, wo die Untersuchung zuerst angehoben wurde (BGE 112 IV 61 E. 1).</w:t>
      </w:r>
    </w:p>
    <w:p>
      <w:r>
        <w:t>Ist eine Straftat von mehreren Mittätern verübt worden, so sind die Behörden des Ortes zuständig, an dem zuerst Verfolgungshandlungen vorgenommen worden sind (Art. 33 Abs. 2 StPO).</w:t>
      </w:r>
    </w:p>
    <w:p>
      <w:r>
        <w:rPr>
          <w:b/>
        </w:rPr>
        <w:t>E. 2.2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Die schwerste Tat im gerichtsstandsrechtlichen Sinn ist diejenige mit der höchsten abstrakten gesetzlichen Strafdrohung, wobei Qualifizierungs- und Privilegierungselemente des besonderen Teils des StGB, welche den Straf- rahmen verändern, zu berücksichtigen sind (an Stelle vieler zuletzt Be- schluss des Bundesstrafgerichts BG.2024.75 vom 26. Februar 2025 E. 2.1; Beschlüsse des Bundesstrafgerichts BG.2011.17 vom 15. Juli 2011 E. 3.1</w:t>
      </w:r>
    </w:p>
    <w:p>
      <w:r>
        <w:t>- 12 -</w:t>
      </w:r>
    </w:p>
    <w:p>
      <w:r>
        <w:t>bzw. BG.2012.8 vom 26. März 2012 E. 2.1 in Übernahme der Praxis zu den Gerichtsstandsregeln gemäss aArt. 340 ff. StGB nach Einführung der schweizerischen Strafprozessordnung). Bei Vorliegen von zwei oder mehre- ren mit gleichen Höchst- und Mindeststrafen bedrohten Delikten, welche teil- weise versucht begangen wurden, ist der Privilegierungsgrund des Versu- ches grundsätzlich zu beachten (Beschlüsse des Bundesstrafgerichts BG.2025.1 vom 24. Januar 2025 E. 2.3; BG.2022.25 vom 2. November 2022 E. 2.2; wie schon vor Einführung der schweizerischen Strafprozessordnung Entscheide des Bundesstrafgerichts BK_G 031/04 vom 12. Mai 2004 E. 1.2 in fine und BG.2008.15 vom 26. September 2008 E. 2.3; vgl. auch BGE 75 IV 94). Versuchte Einzeltaten eines gewerbsmässigen oder bandenmässi- gen Delikts wiegen demgegenüber gleich schwer wie die vollendeten (s. zum Ganzen supra E. 2.1 sowie Beschluss des Bundesstrafgerichts BG.2012.8 vom 26. März 2012 E. 2.1).</w:t>
      </w:r>
    </w:p>
    <w:p>
      <w:r>
        <w:rPr>
          <w:b/>
        </w:rPr>
        <w:t>E. 2.3</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BG.2022.49 vom 23. März 2023 E. 2.3; BG.2022.29 vom 21. November 2022 E. 3.3; BG.2011.49 vom 19. Januar 2012 E. 2.1).</w:t>
      </w:r>
    </w:p>
    <w:p>
      <w:r>
        <w:rPr>
          <w:b/>
        </w:rPr>
        <w:t>E. 3.1</w:t>
      </w:r>
    </w:p>
    <w:p>
      <w:r>
        <w:t>Den Tatbestand des Betrugs im Sinne von Art. 146 Abs. 1 StGB erfüllt, wer in der Absicht, sich oder einen andern unrechtmässig zu bereichern, jeman- den durch Vorspiegelung oder Unterdrückung von Tatsachen arglistig irre- führt oder ihn in seinem Irrtum bestärkt und so den Irrenden zu einem Ver- halten bestimmt, wodurch dieser sich selbst oder einen andern am Vermö- gen schädigt. Der Getäuschte muss durch den Irrtum zu einer Vermögens- verfügung veranlasst werden.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(BGE 126 IV 113 E. 3.a). Nach der Rechtsprechung ist die Vorspiegelung des Leistungswillens grundsätzlich arglistig, weil sie eine innere Tatsache betrifft, die vom Vertragspartner ihrem Wesen nach nicht direkt überprüft werden kann (BGE 147 IV 73 E. 3.3; 142 IV 153 E. 2.2.2). Die Unmöglichkeit</w:t>
      </w:r>
    </w:p>
    <w:p>
      <w:r>
        <w:t>- 13 -</w:t>
      </w:r>
    </w:p>
    <w:p>
      <w:r>
        <w:t>einer direkten Überprüfung des Erfüllungswillens kann nicht zur Bejahung der Arglist führen, wenn sich aus der möglichen und zumutbaren Überprü- fung der Erfüllungsfähigkeit ergeben hätte, dass der andere nicht erfüllungs- fähig war. Auf das Fehlen des Erfüllungswillens des andern kann sodann unter Umständen auch dann geschlossen werden, wenn dieser in der Ver- gangenheit schon wiederholt die von ihm eingegangenen Pflichten nicht er- füllt hat (BGE 118 IV 359 E. 2).</w:t>
      </w:r>
    </w:p>
    <w:p>
      <w:r>
        <w:t>Betrug gilt als dort verübt, wo der Täter jemanden durch Vorspiegelung oder Unterdrückung von Tatsachen zu einem Verhalten bestimmt, das den sich Irrenden oder einen Dritten am Vermögen schädigt (Urteil des Bundesge- richts 6B_127/2013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w:t>
      </w:r>
    </w:p>
    <w:p>
      <w:r>
        <w:rPr>
          <w:b/>
        </w:rPr>
        <w:t>E. 3.2</w:t>
      </w:r>
    </w:p>
    <w:p>
      <w:r>
        <w:t>Den Tatbestand der Urkundenfälschung nach Art. 251 Ziff. 1 StGB erfüllt,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 kunde benützt oder eine rechtlich erhebliche Tatsache unrichtig beurkundet oder beurkunden lässt (1. Absatz) und eine Urkunde dieser Art zur Täu- schung gebraucht (2. Absatz).</w:t>
      </w:r>
    </w:p>
    <w:p>
      <w:r>
        <w:t>Der Tatbestand der Urkundenfälschung gemäss Art. 251 Ziff. 1 StGB gilt an dem Ort ausgeführt, wo die Urkunde gefälscht, somit geschrieben und un- terzeichnet wird (BGE 122 IV 162 E. 5; Beschluss des Bundesstrafgerichts BG.2012.48 vom 18. Januar 2013 E. 2.3; BAUMGARTNER , a.a.O., S. 137; SCHWERI/BÄNZIGER, a.a.O., N. 124). Dasselbe gilt entsprechend für den Tat- bestand der Falschbeurkundung. Ist eine Straftat im Ausland verübt worden oder kann der Tatort nicht ermittelt werden, so sind für die Verfolgung und Beurteilung die Behörden des Ortes zuständig, an dem die beschuldigte Per- son ihren Wohnsitz oder ihren gewöhnlichen Aufenthalt hat (Art. 32 Abs. 1 StPO).</w:t>
      </w:r>
    </w:p>
    <w:p>
      <w:r>
        <w:rPr>
          <w:b/>
        </w:rPr>
        <w:t>E. 4</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w:t>
      </w:r>
    </w:p>
    <w:p>
      <w:r>
        <w:t>- 14 -</w:t>
      </w:r>
    </w:p>
    <w:p>
      <w:r>
        <w:t>sei sicher ausgeschlossen. Der Gerichtsstand bestimmt sich also nicht nach dem, was der Täter begangen hat, sondern nach dem, was ihm vorgeworfen wird, das heisst, was aufgrund der Aktenlage überhaupt in Frage kommt. Als Tatsachenbasis kommen bei jedem Tatverdacht nur vorbestehende, objektiv begründete, konkrete Anhaltspunkte in Betracht. Dabei stützt sich die Be- schwerdekammer auf Fakten, nicht auf Hypothesen. Reine Mutmassungen, generelle Vermutungen, Gerüchte, kriminalistisches Gespür, Intuition, vorstell- bare Lebensvorgänge oder mathematische Wahrscheinlichkeiten reichen zur Begründung eines Tatverdachts nicht aus (vgl. ACKERMANN, Tatverdacht und Cicero – in dubio contra suspicionem maleficii, in: Niggli/Hurtado-Pozo/Que- loz [Hrsg.], Festschrift für Franz Riklin, 2007, S. 326 m.w.H.; WALDER/HANS- JAKOB/GUNDLACH/STRAUB, Kriminalistisches Denken, 12. Aufl. 2023, S. 134; s. auch KARNUSIAN, Der Tatverdacht und seine Quellen, in forumpoenale 2016, S. 352 und 354). Es gilt der Grundsatz in dubio pro duriore, wonach im Zweifelsfall auf den für den Beschuldigten ungünstigeren Sachverhalt ab- zustellen bzw. das schwerere Delikt anzunehmen ist (vgl. Beschluss des Bundesstrafgerichts BG.2014.10 vom 10. Juni 2014 E. 2.1).</w:t>
      </w:r>
    </w:p>
    <w:p>
      <w:r>
        <w:rPr>
          <w:b/>
        </w:rPr>
        <w:t>E. 5.1</w:t>
      </w:r>
    </w:p>
    <w:p>
      <w:r>
        <w:t>Der angezeigte Sachverhalt betrifft drei Delikte: Betrug, Betrugsversuch und Urkundenfälschung (s. supra lit. A). Der Betrug im Sinne von Art. 146 StGB und die Urkundenfälschung im Sinne von Art. 251 Ziff. 1 StGB weisen die- selbe Strafdrohung auf.</w:t>
      </w:r>
    </w:p>
    <w:p>
      <w:r>
        <w:rPr>
          <w:b/>
        </w:rPr>
        <w:t>E. 5.2</w:t>
      </w:r>
    </w:p>
    <w:p>
      <w:r>
        <w:t>Hinsichtlich des Betrugsdelikts ist gestützt auf die Strafanzeige und deren Ergänzung davon auszugehen, dass diverse Ausführungshandlungen auf dem Gebiet des Gesuchsgegners erfolgt sind (s. supra lit. A und E). An den Telefonkonferenzen hat auf Seiten der beschuldigten Personen gemäss der Strafanzeige ausschliesslich der in Deutschland wohnhafte C. teilgenommen (s. supra lit. A und E). Für die seitens des Gesuchsgegners geäusserte Ver- mutung, wonach von Y./BL aus telefonisch verhandelt worden sei, besteht somit keine Grundlage. Lediglich die Vertragsunterzeichnung seitens der E. AG durch den in Y./BL wohnhaften B. soll gemäss dem vorgedruckten Vertragsinhalt in U./AG am Sitz der E. AG erfolgt sein (s. supra lit. A).</w:t>
      </w:r>
    </w:p>
    <w:p>
      <w:r>
        <w:t>Wie der Gesuchsteller zu Recht geltend macht, bestehen somit zusammen- fassend keine konkreten Anhaltspunkte dafür, dass weitere relevante Aus- führungshandlungen des Betrugs auf seinem Gebiet oder im Kanton Aargau erfolgt wären.</w:t>
      </w:r>
    </w:p>
    <w:p>
      <w:r>
        <w:t>Auch für den Betrugsversuch bestehen keine konkreten Anhaltspunkte da- für, dass die beiden Beschuldigten Ausführungshandlungen auf dem Gebiet</w:t>
      </w:r>
    </w:p>
    <w:p>
      <w:r>
        <w:t>- 15 -</w:t>
      </w:r>
    </w:p>
    <w:p>
      <w:r>
        <w:t>des Gesuchstellers oder im Kanton Aargau vorgenommen hätten. Gestützt auf die Strafanzeige und deren Ergänzung kann demgegenüber angenommen werden, dass eine Ausführungshandlung in V./BS erfolgte (s. supra lit. E).</w:t>
      </w:r>
    </w:p>
    <w:p>
      <w:r>
        <w:rPr>
          <w:b/>
        </w:rPr>
        <w:t>E. 5.3</w:t>
      </w:r>
    </w:p>
    <w:p>
      <w:r>
        <w:t>Hinsichtlich der Urkundenfälschung ist gestützt auf die Strafanzeige und de- ren Ergänzung in der vorliegenden Konstellation einzig anzunehmen, dass B. das mutmasslich gefälschte Gutachten der A. AG zustellte (s. supra lit. A und D).</w:t>
      </w:r>
    </w:p>
    <w:p>
      <w:r>
        <w:t>Es bestehen keine konkreten Anhaltspunkte dafür, dass B. das gefälschte Gutachten vom Gebiet des Gesuchstellers oder des Kantons Aargau aus übermittelt und dass er auf diesen Kantonsgebieten auch das Gutachten ge- fälscht hat, soweit er dafür verantwortlich sein sollte. Der Umstand, dass sich der Wohnort von B. in Y./BL und der Sitz der E. AG in U./AG befindet, sagt in der vorliegenden Fallkonstellation nichts weiter aus.</w:t>
      </w:r>
    </w:p>
    <w:p>
      <w:r>
        <w:rPr>
          <w:b/>
        </w:rPr>
        <w:t>E. 5.4</w:t>
      </w:r>
    </w:p>
    <w:p>
      <w:r>
        <w:t>Ergeben weitere Erhebungen, dass der gesetzliche Gerichtsstand für den Straftatbestand der Urkundenfälschung auf dem Gebiet des Gesuchstellers liegt, dann wäre dieser als forum praeventionis in Anwendung von Art. 31 Abs. 2 StPO grundsätzlich für alle hier zur Diskussion stehenden Delikte zu- ständig. Allerdings ist der Ausgang dieser Erhebungen offen, weshalb sich selbst nach den vom Gesuchsgegner geforderten Erhebungen die Zustän- digkeitsfrage nach wie vor stellen könnte. Unter diesen Umständen drängen sich mit Blick auf die konkret angezeigten Sachverhalte keine weiteren Er- hebungen auf, da bereits für ein Delikt mit der gleichen Strafdrohung der Gerichtsstand auf dem Gebiet des Gesuchsgegners feststeht.</w:t>
      </w:r>
    </w:p>
    <w:p>
      <w:r>
        <w:rPr>
          <w:b/>
        </w:rPr>
        <w:t>E. 5.5</w:t>
      </w:r>
    </w:p>
    <w:p>
      <w:r>
        <w:t>Nach dem Gesagten ist das Gesuch gutzuheissen, und es sind die Strafver- folgungsbehörden des Kantons Basel-Stadt für berechtigt und verpflichtet zu erklären, die B. und C. zur Last gelegten Straftaten zu verfolgen und zu be- urteilen.</w:t>
      </w:r>
    </w:p>
    <w:p>
      <w:r>
        <w:rPr>
          <w:b/>
        </w:rPr>
        <w:t>E. 6</w:t>
      </w:r>
    </w:p>
    <w:p>
      <w:r>
        <w:t>Praxisgemäss ist bei interkantonalen Gerichtsstandskonflikten keine Ge- richtsgebühr zu erheben (TPF 2023 130 E. 5.1; vgl. schon BGE 87 IV 145).</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