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BG.2024.66 vom 6. Dezember 2024</w:t>
      </w:r>
    </w:p>
    <w:p>
      <w:r>
        <w:t>Bundesstrafgericht, 2024-12-06, DE</w:t>
      </w:r>
    </w:p>
    <w:p>
      <w:r>
        <w:rPr>
          <w:b/>
        </w:rPr>
        <w:t xml:space="preserve">Quelle: </w:t>
      </w:r>
      <w:r>
        <w:t>https://mcp.opencaselaw.ch/entscheid/bstger_BG.2024.66</w:t>
      </w:r>
    </w:p>
    <w:p>
      <w:r>
        <w:t>FR: TPF BG.2024.66 du 6 décembre 2024</w:t>
      </w:r>
    </w:p>
    <w:p>
      <w:r>
        <w:t>IT: TPF BG.2024.66 del 6 dicembre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sowie Wahrung der Frist zur Einreichung des Gesuchs) geben keinen Anlass zu Bemerkun- gen. Auf das Gesuch ist einzutreten.</w:t>
      </w:r>
    </w:p>
    <w:p>
      <w:r>
        <w:rPr>
          <w:b/>
        </w:rPr>
        <w:t>E. 2.1</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zuletzt u.a. die Beschlüsse des Bundesstrafgerichts BG.2024.56 vom 17. Oktober 2024 E. 1.3.1; BG.2024.53 vom 17. September 2024 E. 2.2; BG.2024.37 vom 30. Juli 2024 E. 1.3.1; vgl. auch BAUMGARTNER, Die Zuständigkeit im Strafverfahren, 2014, S. 498; GUIDON/BÄNZIGER, Die aktuelle Rechtsprechung des Bundesstrafge- richts zum interkantonalen Gerichtsstand in Strafsachen, Jusletter vom 21. Mai 2007, N. 20).</w:t>
      </w:r>
    </w:p>
    <w:p>
      <w:r>
        <w:rPr>
          <w:b/>
        </w:rPr>
        <w:t>E. 2.2</w:t>
      </w:r>
    </w:p>
    <w:p>
      <w:r>
        <w:t>Wie bereits erwähnt, ist die vom Gesuchsteller bzw. vom Gesuchsgegner 1 im Verlaufe des Meinungsaustauschs verschiedentlich angeführte Nichtan- handnahmeverfügung vom 20. September 2023 in den vorliegenden Akten nicht auffindbar. Teile der Akten des erfolgten Meinungsaustauschs zwi- schen den Parteien bilden scheinbar integralen Bestandteil der Verfahrens- akten, währenddem andere lediglich in einem separaten Mäppchen vorge- legt werden. Immerhin macht der Gesuchsteller in seinem Gesuch diesbe- züglich gerade noch entsprechende Hinweise auf die Fundorte einzelner Aktenstücke. Das Schreiben des Gesuchsgegners 1 vom 29. Januar 2024,</w:t>
      </w:r>
    </w:p>
    <w:p>
      <w:r>
        <w:t>- 7 -</w:t>
      </w:r>
    </w:p>
    <w:p>
      <w:r>
        <w:t>in welchem sich dieser auf erwähnte Nichtandhandnahmeverfügung gestützt haben soll, kann den vorliegenden Akten jedoch ebenfalls nicht entnommen werden. Demnach bleiben Inhalt, Gegenstand und Tragweite der erwähnten Nichtanhandnahmeverfügung im Rahmen der Festlegung der örtlichen Zu- ständigkeit für die Beschwerdekammer nicht nachvollziehbar. Es ist auch nicht nachvollziehbar, ob der Gesuchsgegner 1 diese Verfügung im Rahmen des Meinungsaustauschs überhaupt vorgelegt oder in seinem Schreiben vom 29. Januar 2024 lediglich erwähnt hat. Zu diesen Punkten können auch den Eingaben im vorliegenden Verfahren keine konkreteren Angaben ent- nommen werden. Die Parteien sind an dieser Stelle darauf hinzuweisen, dass es im Rahmen einer möglichst raschen Klärung der Frage der örtlichen Zuständigkeit nicht die Aufgabe der Beschwerdekammer ist, die Gesamtheit der kantonalen Akten selbst nach möglicherweise relevanten Akten zu durchforsten, zumal wenn – wie im vorliegenden Fall – diese nicht einmal mit einem entsprechenden Aktenverzeichnis versehen sind. In solchen Fällen riskiert die gesuchstellende Partei, dass sie nachträglich zur Vornahme der notwendigen Verbesserungen aufgefordert wird (vgl. hierzu den Beschluss des Bundesstrafgerichts BG.2023.5 vom 5. April 2023, Sachverhalt lit. U). Aufgrund der nachfolgenden Erwägungen ist vorliegend ausnahmsweise auf einen solchen Schritt zu verzichten.</w:t>
      </w:r>
    </w:p>
    <w:p>
      <w:r>
        <w:rPr>
          <w:b/>
        </w:rPr>
        <w:t>E. 3</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Für die Beurteilung des vorliegenden Gerichtsstandskonflikts entscheidend ist die Frage, ob die am</w:t>
      </w:r>
    </w:p>
    <w:p>
      <w:r>
        <w:rPr>
          <w:b/>
        </w:rPr>
        <w:t>E. 7</w:t>
      </w:r>
    </w:p>
    <w:p>
      <w:r>
        <w:t>März 2023 erfolgte Meldung von B. bei der Polizeidienststelle Z./ZG im Kanton Zug ein forum praeventionis im Sinne von Art. 34 Abs. 1 Satz 2 StPO begründet oder nicht.</w:t>
      </w:r>
    </w:p>
    <w:p>
      <w:r>
        <w:t>4.</w:t>
      </w:r>
    </w:p>
    <w:p>
      <w:r>
        <w:t>4.1 Als Verfolgungshandlungen gelten alle Ermittlungsmassnahmen gegen eine bekannte oder unbekannte Täterschaft. Dabei wird die Zuständigkeit nicht erst durch Fahndungsmassnahmen, Einvernahmen oder Anordnungen von Zwangsmassnahmen gegen die Täterschaft begründet. Es genügt hierfür bereits, dass eine nicht von vornherein haltlose Strafanzeige eingereicht oder ein Polizeirapport erstellt wurde. Massgebend ist der Ort, an dem eine Strafbehörde durch die Vornahme von Erhebungen oder in anderer Weise</w:t>
      </w:r>
    </w:p>
    <w:p>
      <w:r>
        <w:t>- 8 -</w:t>
      </w:r>
    </w:p>
    <w:p>
      <w:r>
        <w:t>zu erkennen gibt, dass sie jemanden einer strafbaren Handlung verdächtigt. Voraussetzung für die Begründung des Gerichtsstandes durch Anhebung einer Untersuchung ist aber, dass ein örtlicher Anknüpfungspunkt für die Begründung der Zuständigkeit der Behörde besteht (Urteile des Bundesge- richts 6B_214/2019 vom 15. Mai 2019 E. 4.4; 6B_15/2019 vom 15. Mai 2019 E. 1.3; 6B_918/2016 vom 28. März 2017 E. 2.3; 6B_584/2016 vom 6. Feb- ruar 2017 E. 1.1.2; 6B_553/2015 vom 18. Januar 2016 E. 2.1; siehe auch die Beschlüsse des Bundesstrafgerichts BG.2024.7 vom 16. April 2024 E. 3.2; BG.2023.39 vom 18. Oktober 2023 E. 2.2; BG.2023.38 vom 12. Ok- tober 2023 E. 2.1.2; BG.2010.21 vom 30. März 2011 E. 3.2). Nicht voraus- gesetzt wird die Eröffnung einer Strafuntersuchung im Sinne von Art. 309 StPO oder das Tätigwerden einer Strafverfolgungsbehörde (BAUMGARTNER, a.a.O., S. 173, u.a. mit Hinweis auf den Beschluss des Bundesstrafgerichts BG.2011.33 vom 28. September 2011 E. 2.2.2 in fine).</w:t>
      </w:r>
    </w:p>
    <w:p>
      <w:r>
        <w:t>4.2 Dem oben erwähnten Rapport der Zuger Polizei vom 14. Juli 2023 zufolge sei B. am 7. März 2023 auf der Polizeidienststelle Z./ZG erschienen und habe sich bezüglich eines Betrugs beraten lassen. Dem Gesuchsteller ist beizupflichten, dass diese Formulierung vermuten lässt, dass bereits zu je- nem Zeitpunkt der Geschädigte B., der sachbearbeitende Polizist oder sogar beide Anhaltspunkte für einen Betrug erkannt haben. Wenn der Gesuchs- gegner 1 nun nachträglich vorbringt, am 7. März 2023 sei kein Betrug zur Anzeige gebracht worden und es sei keine Rede davon gewesen, dass B. von der beschuldigten Person getäuscht worden wäre, so vermag das nicht zu überzeugen. Die Vorbringen des Gesuchsgegners 1, wonach es sich um eine rein zivilrechtliche Angelegenheit gehandelt habe und dass sich die Zu- ger Polizei aufgrund der Vorsprache von B. nicht veranlasst gesehen habe, irgendwelche Massnahmen einzuleiten, welche auf dem Verdacht einer strafbaren Handlung beruhten (so in act. 8, Ziff. II.3 und II.3.1), werden durch eine andere Bemerkung im Rapport selbst widerlegt. Demnach nahm die Polizei am 20. März 2023 offenbar von sich aus nochmals mit B. Kontakt auf, um die weiteren Schritte zu planen (Anzeigeerstattung). Wieso offenbar die Polizei selbst eine Strafanzeige in Betracht gezogen hat, wenn es sich um eine rein zivilrechtliche Angelegenheit gehandelt haben soll, bleibt unerfind- lich. Auch die übrige Vorgehensweise der Polizei lässt die nachträglichen Vorbringen im Gerichtsstandsverfahren als wenig glaubhaft erscheinen. Schliesslich kontaktierte die Polizei offenbar noch am Tage der Meldung den Käufer A., um diesen zu einem Gespräch auf der Polizeidienststelle einzula- den. Das Verlangen eines polizeilichen Einsatzes durch eine geschädigte Person wegen eines zur Diskussion stehenden Delikts stellt eine erste Ver- folgungshandlung im Sinne von Art. 34 Abs. 1 Satz 2 StPO dar (vgl. hierzu BAUMGARTNER, a.a.O., S. 175 f. m.w.H.). Dass die Zuger Polizei den Fall</w:t>
      </w:r>
    </w:p>
    <w:p>
      <w:r>
        <w:t>- 9 -</w:t>
      </w:r>
    </w:p>
    <w:p>
      <w:r>
        <w:t>nach erfolgter Bezahlung zu den Akten legte und der Geschädigte angege- ben hat, keine Strafverfolgung zu wünschen, ändert am Gesagten nichts, da es sich bei Betrug um ein Offizialdelikt handelt. Eine Behörde soll sich nicht durch ihre Untätigkeit ihrer örtlichen Zuständigkeit entziehen können (vgl. hierzu bereits den Beschluss des Bundesstrafgerichts BG.2011.33 vom 28. September 2011 E. 2.2.2 in fine). Nach dem Gesagten begründete die Vorsprache von B. bei der Polizeidienststelle Z./ZG am 7. März 2023 bezüg- lich der dem Beschuldigten zur Last gelegten Betrugsdelikte das forum praeventionis gemäss Art. 34 Abs. 1 Satz 2 StPO. Der darüber hinaus erforderliche örtliche Anknüpfungspunkt ergibt sich aus dem mutmasslichen Tatort in Z./ZG.</w:t>
      </w:r>
    </w:p>
    <w:p>
      <w:r>
        <w:t>4.3 Wie bereits erwähnt, sind Ausführungen der Parteien zu einer Nichtanhand- nahmeverfügung vom 20. September 2023 und was die Parteien daraus allenfalls zu ihren Gunsten ableiten wollen, für die Beschwerdekammer nicht nachvollziehbar. Sollte diese Verfügung tatsächlich den am 7. März 2023 in Z./ZG zur Anzeige gebrachten und im Rapport vom 14. Juli 2023 behandel- ten Sachverhalt betreffen, so änderte sich nichts an der Frage der Zustän- digkeit. Den Zuger Behörden war bereits am 14. Juli 2023 offensichtlich bekannt, dass die Luzerner Behörden gegen den Beschuldigten ein grösse- res Verfahren wegen gewerbsmässigen Betrugs führten. Insofern liegt nicht nur der gesetzliche Gerichtsstand im Kanton Zug. Dieser hätte darüber hin- aus mit dem allfälligen Erlass einer solchen Nichtanhandnahmeverfügung seine Zuständigkeit auch noch konkludent anerkannt (vgl. hierzu zuletzt den Beschluss des Bundesstrafgerichts BG.2024.23 vom 24. September 2024 E. 5.2 m.w.H.).</w:t>
      </w:r>
    </w:p>
    <w:p>
      <w:r>
        <w:t>5. Nach dem Gesagten ist das Gesuch gutzuheissen und es sind die Strafbe- hörden des Kantons Zug für berechtigt und verpflichtet zu erklären, die A. zur Last gelegten Straftaten zu verfolgen und zu beurteilen.</w:t>
      </w:r>
    </w:p>
    <w:p>
      <w:r>
        <w:t>6. Praxisgemäss ist bei interkantonalen Gerichtsstandskonflikten keine Gerichtsgebühr zu erheben (vgl. Art. 423 Abs. 1 StPO i.V.m. Art. 66 Abs. 4 BGG per analogiam;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