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BG.2024.52 vom 8. Oktober 2024</w:t>
      </w:r>
    </w:p>
    <w:p>
      <w:r>
        <w:t>Bundesstrafgericht, 2024-10-08, DE</w:t>
      </w:r>
    </w:p>
    <w:p>
      <w:r>
        <w:rPr>
          <w:b/>
        </w:rPr>
        <w:t xml:space="preserve">Quelle: </w:t>
      </w:r>
      <w:r>
        <w:t>https://mcp.opencaselaw.ch/entscheid/bstger_BG.2024.52</w:t>
      </w:r>
    </w:p>
    <w:p>
      <w:r>
        <w:t>FR: TPF BG.2024.52 du 8 octobre 2024</w:t>
      </w:r>
    </w:p>
    <w:p>
      <w:r>
        <w:t>IT: TPF BG.2024.52 del 8 ottobre 2024</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sind vorliegend erfüllt und geben zu keinen Bemerkungen Anlass. Auf das Gesuch ist einzutreten.</w:t>
      </w:r>
    </w:p>
    <w:p>
      <w:r>
        <w:t>- 8 -</w:t>
      </w:r>
    </w:p>
    <w:p>
      <w:r>
        <w:rPr>
          <w:b/>
        </w:rPr>
        <w:t>E. 2.1</w:t>
      </w:r>
    </w:p>
    <w:p>
      <w:r>
        <w:t>Für die Verfolgung und Beurteilung einer Straftat sind die Behörden des Ortes zuständig, an dem die Tat verübt worden ist. Liegt nur der Ort, an dem der Erfolg der Straftat eingetreten ist, in der Schweiz, so sind die Behörden dieses Ortes zuständig (Art. 31 Abs. 1 StPO). Der Ausführungsort befindet sich dort, wo der Täter gehandelt hat (BGE 86 IV 222 E. 1; Beschluss des Bundesstrafgerichts BG.2015.48 vom 23. Dezember 2015 E. 2.1).</w:t>
      </w:r>
    </w:p>
    <w:p>
      <w:r>
        <w:t>Hat eine beschuldigte Person mehrere Straftaten an verschiedenen Orten verübt, so sind für die Verfolgung und Beurteilung sämtlicher Taten die Be- hörden des Ortes zuständig, an dem die mit der schwersten Strafe bedrohte Tat begangen worden ist (Art. 34 Abs. 1 Satz 1 StPO). Bei gleicher Strafdro- hung sind die Behörden des Ortes zuständig, an dem zuerst Verfolgungs- handlungen vorgenommen worden sind (Art. 34 Abs. 1 Satz 2 StPO; forum praeventionis).</w:t>
      </w:r>
    </w:p>
    <w:p>
      <w:r>
        <w:rPr>
          <w:b/>
        </w:rPr>
        <w:t>E. 2.2</w:t>
      </w:r>
    </w:p>
    <w:p>
      <w:r>
        <w:t>Wer jemandem eine fremde bewegliche Sache zur Aneignung wegnimmt, um sich oder einen andern damit unrechtmässig zu bereichern, wird mit Frei- heitsstrafe bis zu fünf Jahren oder Geldstrafe bestraft (Art. 139 Ziff. 1 StGB). Wer (namentlich) eine Sache erwirbt, von der er weiss oder annehmen muss, dass sie ein anderer durch eine strafbare Handlung gegen das Vermögen erlangt hat, macht sich der Hehlerei schuldig und wird mit Freiheitsstrafe bis zu drei Jahren oder Geldstrafe bestraft (Art. 160 Ziff. 1 StGB).</w:t>
      </w:r>
    </w:p>
    <w:p>
      <w:r>
        <w:rPr>
          <w:b/>
        </w:rPr>
        <w:t>E. 2.3</w:t>
      </w:r>
    </w:p>
    <w:p>
      <w:r>
        <w:t>Die Beurteilung der Gerichtsstandsfrage richtet sich nach der aktuellen Verdachtslage. Massgeblich ist nicht, was dem Beschuldigten letztlich nach- gewiesen werden kann, sondern der Tatbestand, der Gegenstand der Un- tersuchung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Hypothesen. Generelle Vermutungen, Gerüchte, vorstellbare Lebensvor- gänge oder mathematische Wahrscheinlichkeiten reichen zur Begründung eines Tatverdachts nicht aus (s. auch KARNUSIAN, Der Tatverdacht und seine Quellen, in forumpoenale 2016, S. 352 und 354; ACKERMANN, Tatverdacht und Cicero, – in dubio contra suspicionem maleficii, in: Niggli/Hurtado Pozo/Queloz [Hrsg.], Festschrift für Franz Riklin, 2007, S. 319 ff.). Ferner gilt der aus dem Legalitätsprinzip fliessende Grundsatz in dubio pro duriore (BGE 138 IV 186 E. 4.1). Daraus leitet sich für die Bestimmung des Gerichts- standes ab, dass im Zweifelsfall auf den für den Beschuldigten ungünstige- ren Sachverhalt abzustellen bzw. das schwerere Delikt anzunehmen ist</w:t>
      </w:r>
    </w:p>
    <w:p>
      <w:r>
        <w:t>- 9 -</w:t>
      </w:r>
    </w:p>
    <w:p>
      <w:r>
        <w:t>(vgl. u.a. Beschlüsse des Bundesstrafgerichts BG.2020.57 vom 1. Februar 2021 E. 2.2; BG.2020.51 vom 26. November 2020 E. 3; BG.2020.39 vom 23. September 2020 E. 3; je m.w.H.).</w:t>
      </w:r>
    </w:p>
    <w:p>
      <w:r>
        <w:rPr>
          <w:b/>
        </w:rPr>
        <w:t>E. 3</w:t>
      </w:r>
    </w:p>
    <w:p>
      <w:r>
        <w:t>Die Behörden des Kantons Luzern führen seit November 2021 ein Strafver- fahren gegen unbekannte Täterschaft wegen Diebstahls von 12 Waffen, da- runter die Pistole, Marke SIG, Typ P220. Am 18. Januar 2024, also nach ungefähr zwei Jahren, taucht diese Pistole plötzlich wieder auf. Nach den ersten Ermittlungen der Behörden des Kantons Obwalden kann C. den käuf- lichen Erwerb der gestohlenen Waffe weder durch Dokumente noch durch seine widersprüchlichen und vagen Angaben zum geltend gemachten Er- werbsgeschäft und zur Verkäuferschaft belegen (vgl. supra lit. B). Unter die- sen Umständen ergeben sich mit dem Auffinden von Deliktsgut bei C. für das im Kanton Luzern geführte Strafverfahren gegen unbekannte Täterschaft zum ersten Mal direkte und somit weiterführende Hinweise auf einen – in Anwendung des Grundsatzes in dubio pro duriore – konkreten mutmassli- chen Täter. Daran vermögen weder die Sistierungsverfügung der Staatsan- waltschaft des Kantons Luzern vom 18. März 2024 (Verfahrensakten OW, Dossier Nr. 7 Privatklägerschaft) noch die weiteren Ausführungen der Ober- staatsanwaltschaft des Kantons Luzern (act. 4) etwas zu ändern. Insofern ist die Sache gerichtsstandsreif und zur Ermittlung des Gerichtsstands erwei- sen sich zusätzliche Ermittlungen, namentlich die Einvernahme von D., nicht als notwendig. Aufgrund der aktuellen Aktenlage erweist sich der Vorwurf, C. könnte sich des Diebstahls i.S.v. Art. 139 Ziff. 1 StGB schuldig gemacht haben, zusammenfassend nicht von vornherein als haltlos.</w:t>
      </w:r>
    </w:p>
    <w:p>
      <w:r>
        <w:rPr>
          <w:b/>
        </w:rPr>
        <w:t>E. 4</w:t>
      </w:r>
    </w:p>
    <w:p>
      <w:r>
        <w:t>Nach dem Gesagten ist das Gesuch gutzuheissen und es sind die Strafbe- hörden des Kantons Luzern für berechtigt und verpflichtet zu erklären, die C. zur Last gelegten Delikte zu verfolgen und zu beurteilen.</w:t>
      </w:r>
    </w:p>
    <w:p>
      <w:r>
        <w:rPr>
          <w:b/>
        </w:rPr>
        <w:t>E. 5</w:t>
      </w:r>
    </w:p>
    <w:p>
      <w:r>
        <w:t>Praxisgemäss ist bei interkantonalen Gerichtsstandskonflikten keine Ge- richtsgebühr zu erheben (TPF 2023 130 E. 5.1; vgl. schon BGE 87 IV 145).</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