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BG.2024.51 vom 9. September 2024</w:t>
      </w:r>
    </w:p>
    <w:p>
      <w:r>
        <w:t>Bundesstrafgericht, 2024-09-09, FR</w:t>
      </w:r>
    </w:p>
    <w:p>
      <w:r>
        <w:rPr>
          <w:b/>
        </w:rPr>
        <w:t xml:space="preserve">Quelle: </w:t>
      </w:r>
      <w:r>
        <w:t>https://mcp.opencaselaw.ch/entscheid/bstger_BG.2024.51</w:t>
      </w:r>
    </w:p>
    <w:p>
      <w:r>
        <w:t>FR: TPF BG.2024.51 du 9 septembre 2024</w:t>
      </w:r>
    </w:p>
    <w:p>
      <w:r>
        <w:t>IT: TPF BG.2024.51 del 9 settembre 2024</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t>- 4 -</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23 août 2024, soit dans les dix jours ayant suivi la notification, le 21 août 2024, du dernier échange de vue du 20 août 2024, la requête en fixation de for est recevable et il y a lieu d’entrer en matière.</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Lorsque plusieurs coauteurs agissent en plusieurs lieux, l’art. 34 al. 1 CPP s’applique pour tous les coauteurs (décision du Tribunal pénal fédéral BG.2018.32 du 19 septembre 2018 consid. 2.2 et références citées).</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w:t>
      </w:r>
    </w:p>
    <w:p>
      <w:r>
        <w:t>- 5 -</w:t>
      </w:r>
    </w:p>
    <w:p>
      <w:r>
        <w:t>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2.2.1</w:t>
      </w:r>
    </w:p>
    <w:p>
      <w:r>
        <w:t>A teneur de l’art. 122 CP, est puni d’une peine privative de liberté d’un à dix ans quiconque, intentionnellement, notamment, blesse une personne de façon à mettre sa vie en danger (let. a) ou fait subir à une personne toute autre atteinte grave à l’intégrité corporelle ou à la santé physique ou mentale (let. c).</w:t>
      </w:r>
    </w:p>
    <w:p>
      <w:r>
        <w:rPr>
          <w:b/>
        </w:rPr>
        <w:t>E. 2.2.2</w:t>
      </w:r>
    </w:p>
    <w:p>
      <w:r>
        <w:t>Selon l’art. 183 CP (séquestration et enlèvement), quiconque, sans droit, arrête une personne, la retient prisonnière, ou, de toute autre manière, la prive de sa liberté, ou quiconque, en usant de violence, de ruse ou de menace, enlève une personne est puni d’une peine privative de liberté de cinq ans au plus ou d’une peine pécuniaire.</w:t>
      </w:r>
    </w:p>
    <w:p>
      <w:r>
        <w:rPr>
          <w:b/>
        </w:rPr>
        <w:t>E. 2.2.3</w:t>
      </w:r>
    </w:p>
    <w:p>
      <w:r>
        <w:t>La séquestration et l’enlèvement sont punis d’une peine privative de liberté d’un an au moins si l’auteur cherche à obtenir rançon, s’il traite la victime avec cruauté, si la privation de liberté dure plus de dix jours ou si la santé de la victime est sérieusement mise en danger (art. 184 CP).</w:t>
      </w:r>
    </w:p>
    <w:p>
      <w:r>
        <w:rPr>
          <w:b/>
        </w:rPr>
        <w:t>E. 2.3</w:t>
      </w:r>
    </w:p>
    <w:p>
      <w:r>
        <w:t>En l’espèce, il ressort des actes du dossier qu’à Z., dans une usine désaffectée servant de squat, les 10 et 11 juillet 2024, le plaignant E. a été roué de coups de poings et de pieds (avec élan) par quatre des prévenus, au point de le faire tomber, sur un matelas. Une fois à terre, les coups ont continué, en particulier, à la tête – qu’il s’est fait écraser contre le sol, par un pied. Les prévenus l’ont ensuite relevé, pour continuer à le frapper. Il saignait de la lèvre, a vomi et a déclaré s’être vu mourir, tant il avait mal au torse et à la tête. Plusieurs des prévenus ont déclaré que les coups portés auraient pu être fatals (act. 1 ss; dossier MP/4015/2024, onglet C, auditions, en particulier, de C. du 24 juillet 2024, p. 5 s., l. 117 ss). Si les coups ont ensuite cessé et l’attitude des prévenus envers le plaignant a changé (sans toutefois lui prodiguer de soins ou l’emmener à l’hôpital), ce dernier a tout de même été obligé de les suivre, par peur des conséquences dont il avait été menacé (dossier MP/4015/2024, onglet C, auditions, en particulier, de B. du 17 juillet 2024 devant le MP-JU, p. 4), en ville de Neuchâtel, puis à la gare, où, le 11 juillet 2024 au matin, le plaignant et trois des prévenus, ont pris le train pour se rendre au domicile de l’un d’eux, à Y. Après avoir fumé des joints et dormi (le plaignant sur une chaise), en début d’après-midi, les prévenus ont quitté l’appartement, y enfermant, tout en le menaçant, le plaignant, seul, souffrant</w:t>
      </w:r>
    </w:p>
    <w:p>
      <w:r>
        <w:t>- 6 -</w:t>
      </w:r>
    </w:p>
    <w:p>
      <w:r>
        <w:t>manifestement, sans soins (act. 1 ss; dossier MP/4015/2024, onglet C, auditions).</w:t>
      </w:r>
    </w:p>
    <w:p>
      <w:r>
        <w:rPr>
          <w:b/>
        </w:rPr>
        <w:t>E. 2.4</w:t>
      </w:r>
    </w:p>
    <w:p>
      <w:r>
        <w:t>En tant que susceptibles d’avoir mis sérieusement en danger la santé – voire la vie – du plaignant, ces faits répondent à la qualification de lésions corporelles graves (art. 122 CP), à tout le moins sous forme de tentative, ainsi que de séquestration qualifiée (art. 184 CP; pour le concours entre les art. 122 et 184 CP, v. ATF 106 IV 363 consid. 4f; PELLET, Commentaire romand, 2017, n. 19 s. ad art. 184 CP et auteurs cités), vu, en particulier, l’état du plaignant et l’absence de soins médicaux requis (PELLET, op. cit., n. 14 ad art. 184 CP). En effet, les menaces proférées (dossier MP/4015/2024, onglet C, auditions, en particulier, de E. du 11 juillet 2024, p. 4, l. 47 ss et de B. par la police jurassienne du 17 juillet 2024, p. 7, l. 225 s.), comme la violence des coups portés, démontrent que les prévenus avaient l’ascendant sur lui et le retenaient prisonnier, de sorte que l’atteinte à sa liberté dépassait celle engendrée par des lésions corporelles (v. ATF 104 IV 170 consid. 3). Peuvent également entrer en considération (sans concours supplémentaire) au titre de l’art. 184 CP, la cruauté exercée, comme le fait que les prévenus entendaient obtenir de l’argent du plaignant et, pour ce faire, éviter qu’il ne disparaisse à nouveau (act. 1; act. 3; dossier MP/4015/2024, onglet C, auditions, en particulier, de A. du 17 juillet 2024, p. 8 et 10). Contrairement à ce que soutient le MP-JU, la privation de liberté subie sur sol jurassien, notamment, à Y., alors qu’ils se trouvaient ensemble dans l’appartement, ne permet pas d’exclure l’infraction qualifiée de l’art. 184 CP, indépendamment du fait qu’aucun coup n’y a été porté et/ou que les prévenus ont, en partant, laissé son téléphone portable au plaignant, comme de celui que seule l’infraction de base (art. 183 CP) est, en l’état, retenue par le MP-JU.</w:t>
      </w:r>
    </w:p>
    <w:p>
      <w:r>
        <w:rPr>
          <w:b/>
        </w:rPr>
        <w:t>E. 2.5</w:t>
      </w:r>
    </w:p>
    <w:p>
      <w:r>
        <w:t>L’infraction la plus grave est celle à l’art. 184 CP, commise par plusieurs coauteurs (art. 34 al. 1 CPP, v. supra consid. 2.1.1). Il en va d’un délit continu (ATF 132 IV 49 consid. 3.1.2.2 et arrêts cités), dont les éléments constitutifs ont été réalisés sur sol neuchâtelois et qui a cessé à Y., soit sur sol jurassien, lorsque le plaignant a été libéré par la police cantonale, qu’il avait appelée. Cette infraction ayant été commise en plusieurs cantons, l’art. 31 al. 2 CP s’applique (v. TPF 2010 108 consid. 2.2; décision du Tribunal pénal fédéral BG.2013.6 du 7 mai 2013 consid. 3), de sorte que les autorités compétentes pour poursuivre et juger les prévenus sont celles du lieu où les premiers actes de poursuite ont été entrepris, soit les autorités pénales jurassiennes.</w:t>
      </w:r>
    </w:p>
    <w:p>
      <w:r>
        <w:t>- 7 -</w:t>
      </w:r>
    </w:p>
    <w:p>
      <w:r>
        <w:rPr>
          <w:b/>
        </w:rPr>
        <w:t>E. 3</w:t>
      </w:r>
    </w:p>
    <w:p>
      <w:r>
        <w:t>Quant à la possibilité de retenir un autre for que celui prévu aux art. 31 à 37 CPP (art. 40 al. 3 CPP), en l’occurrence, dans le canton de Neuchâtel, elle doit être écartée, pareille solution devant demeurer l'exception. Le fait que le trafic de stupéfiants reproché s’y serait essentiellement déroulé (et non exclusivement, vu la drogue retrouvée au domicile de l’un des prévenus à Y.; act. 1, p. 3) ou que trois des prévenus, dont deux n’ont pas participé aux faits sur sol jurassien, soient domiciliés dans le canton de Neuchâtel, ne suffisent pas à faire application de l’art. 38 al. 1 CPP. Il en va de même de l’enquête (à tout le moins de police) ouverte à l’encontre l’un des prévenus dans le canton de Neuchâtel, pour laquelle le MP-JU, dans sa procédure MP/2538/2024, antérieure à celle MP/4015/2024, a précisé avoir, le 8 juillet 2024, renoncé à demander la reprise de for au MP-NE, pour des motifs de célérité (act. 1, p. 5 s. et dossier MP/2538/2024). A relever à ce titre, comme le précise lui-même le MP-JU, que la procédure MP/2538/2024 n’a, en l’état, pas été formellement jointe à la procédure MP/4015/2024, du fait de son stade d’avancement (act. 1, p. 6). Aucun autre motif pertinent – notamment d’économie de procédure ou de célérité – de nature à justifier une dérogation au for légal n’apparaît (v. décision du Tribunal pénal fédéral BG.2011.25 du 28 septembre 2011 consid. 3.2).</w:t>
      </w:r>
    </w:p>
    <w:p>
      <w:r>
        <w:rPr>
          <w:b/>
        </w:rPr>
        <w:t>E. 4</w:t>
      </w:r>
    </w:p>
    <w:p>
      <w:r>
        <w:t>Au vu de ce qui précède, il sied de reconnaître la compétence des autorités pénales du canton du Jura pour la poursuite et le jugement des causes MP/4015/2024 et MP/2538/2024. Partant, la requête formée par le MP-JU le 23 août 2024 est rejetée.</w:t>
      </w:r>
    </w:p>
    <w:p>
      <w:r>
        <w:rPr>
          <w:b/>
        </w:rPr>
        <w:t>E. 5</w:t>
      </w:r>
    </w:p>
    <w:p>
      <w:r>
        <w:t>Selon la pratique constante, la présente décision est rendue sans frais (TPF 2023 130 consid.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