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BG.2024.40 vom 9. August 2024</w:t>
      </w:r>
    </w:p>
    <w:p>
      <w:r>
        <w:t>Bundesstrafgericht, 2024-08-09, DE</w:t>
      </w:r>
    </w:p>
    <w:p>
      <w:r>
        <w:rPr>
          <w:b/>
        </w:rPr>
        <w:t xml:space="preserve">Quelle: </w:t>
      </w:r>
      <w:r>
        <w:t>https://mcp.opencaselaw.ch/entscheid/bstger_BG.2024.40</w:t>
      </w:r>
    </w:p>
    <w:p>
      <w:r>
        <w:t>FR: TPF BG.2024.40 du 9 août 2024</w:t>
      </w:r>
    </w:p>
    <w:p>
      <w:r>
        <w:t>IT: TPF BG.2024.40 del 9 agosto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w:t>
      </w:r>
    </w:p>
    <w:p>
      <w:r>
        <w:rPr>
          <w:b/>
        </w:rPr>
        <w:t>E. 2.2.1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rPr>
          <w:b/>
        </w:rPr>
        <w:t>E. 2.2.2</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u. a. die Beschlüsse des Bundesstraf- gerichts BG.2016.28 vom 25. Oktober 2016 E. 2.1; BG.2016.19 vom 20. Juli 2016 E. 2.2; BG.2016.14 vom 14. Juni 2016 E. 2.2; jeweils m.w.H.). Die schwerste Tat im gerichtsstandsrechtlichen Sinn ist diejenige mit der höchs- ten abstrakten gesetzlichen Strafdrohung, wobei Qualifizierungs- und Privi- legierungselemente des besonderen Teils des StGB, welche den Strafrah- men verändern, zu berücksichtigen sind (Entscheid des Bundesstrafgerichts BG.2010.14 vom 20. September 2010 E. 2.1).</w:t>
      </w:r>
    </w:p>
    <w:p>
      <w:r>
        <w:rPr>
          <w:b/>
        </w:rPr>
        <w:t>E. 2.3</w:t>
      </w:r>
    </w:p>
    <w:p>
      <w:r>
        <w:t>Die Beschwerdekammer kann (wie die beteiligten Staatsanwaltschaften un- ter einander auch) einen anderen als den in Art. 31-37 StPO vorgesehenen Gerichtsstand festlegen, wenn der Schwerpunkt der deliktischen Tätigkeit</w:t>
      </w:r>
    </w:p>
    <w:p>
      <w:r>
        <w:t>- 6 -</w:t>
      </w:r>
    </w:p>
    <w:p>
      <w:r>
        <w:t>oder die persönlichen Verhältnisse der beschuldigten Person es erfordern oder andere triftige Gründe vorliegen (Art. 40 Abs. 3 StPO). Ein solches Abweichen vom gesetzlichen Gerichtsstand kann aus Zweckmässigkeits-, Wirtschaftlichkeits- oder prozessökonomischen Gründen gerechtfertigt sein, soll indes die Ausnahme bleiben (BGE 129 IV 202 E. 2 S. 203; Beschluss des Bundesstrafgerichts BG.2014.8 vom 9. April 2014 E. 2.1 m.w.H.). Aus Zweckmässigkeitsgründen kann ein Abweichen vom gesetzlichen Gerichts- stand u.a. gerechtfertigt sein, wenn mehrere Tätergruppen zu beurteilen sind. Eine Aufteilung des Verfahrens nach verschiedenen Tätergruppen soll in der Regel nur vorgenommen werden, wenn zwei oder mehrere Tätergrup- pen zur Hauptsache unabhängig voneinander gehandelt haben und nur we- nige Querverbindungen zwischen ihnen bestanden, so dass sich eine ge- teilte Verfolgung und Beurteilung ohne grosse Schwierigkeiten durchführen lässt und sich auch unter dem Gesichtspunkt der Prozessökonomie auf- drängt (vgl. zum Ganzen eingehend SCHWERI/BÄNZIGER, Interkantonale Ge- richtsstandsbestimmung in Strafsachen, 2. Aufl. 2004, N. 491 ff. m.w.H.; s.a. Entscheid des Bundesstrafgerichts BG.2008.26 vom 8. Januar 2009 E. 3.1; MOSER/SCHLAPBACH, Basler Kommentar, 3. Aufl. 2023, Art. 38 StPO N. 6 m.w.H.).</w:t>
      </w:r>
    </w:p>
    <w:p>
      <w:r>
        <w:rPr>
          <w:b/>
        </w:rPr>
        <w:t>E. 2.4</w:t>
      </w:r>
    </w:p>
    <w:p>
      <w:r>
        <w:t>Die Beurteilung der Gerichtsstandsfrage richtet sich nach der aktuellen Verdachtslage.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Der Gesuchsteller begründet sein Gesuch im Hauptpunkt dahingehend, dass er die Abtrennung des Verfahrens durch den Kanton St. Gallen nicht beanstande, da A. inhaftiert sei, B. unbekannten Aufenthalts sei und die an- deren Mittäter (noch) völlig unbekannt seien. Die Abtrennung des Verfahrens gegen A. vom Strafverfahren gegen seine Mittäter ändere jedoch nichts an der Zuständigkeit des Kantons St. Gallen, da dort der erste bandenmässige Diebstahl begangen und angezeigt worden sei. Damit ergebe sich die Zu- ständigkeit des Kantons St. Gallen auch zur Verfolgung und Beurteilung sämtlicher Taten, auch wenn A. als Bindeglied zwischen den einzelnen Tä- tern bzw. Tätergruppen separat verfolgt werde. Dies gelte umso mehr, als nicht ausgeschlossen werden könne, dass es sich bei der unbekannten</w:t>
      </w:r>
    </w:p>
    <w:p>
      <w:r>
        <w:t>- 7 -</w:t>
      </w:r>
    </w:p>
    <w:p>
      <w:r>
        <w:t>Täterschaft – mutmasslich D. – auch um einen der Mittäter handeln könnte, welche von A. als «E.» und «F.» bezeichnet worden seien (act. 1, S. 5 ff.).</w:t>
      </w:r>
    </w:p>
    <w:p>
      <w:r>
        <w:rPr>
          <w:b/>
        </w:rPr>
        <w:t>E. 3.2</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180 Tagessätzen bestraft, wenn er gewerbsmässig stiehlt (Art. 139 Ziff. 3 lit. a StGB) oder den Diebstahl als Mitglied einer Bande ausführt, die sich zur fortgesetzten Verübung von Raub oder Diebstahl zusammengefun- den hat (Art. 139 Ziff. 3 lit. b StGB). Nach der Rechtsprechung ist Banden- mässigkeit gegeben, wenn zwei oder mehrere Täter sich mit dem ausdrück- lich oder konkludent geäusserten Willen zusammenfinden, inskünftig zur Verübung mehrerer selbständiger, im Einzelnen möglicherweise noch unbe- stimmter Straftaten zusammenzuwirken (BGE 135 IV 158 E. 2 und E. 3).</w:t>
      </w:r>
    </w:p>
    <w:p>
      <w:r>
        <w:rPr>
          <w:b/>
        </w:rPr>
        <w:t>E. 3.3.1</w:t>
      </w:r>
    </w:p>
    <w:p>
      <w:r>
        <w:t>Gemäss der Darstellung im Gesuch (act. 1, S. 3 f.), die der Anklageschrift des Untersuchungsamtes Altstätten vom 14. Mai 2024 entspricht (act. 7.1), wird A. verdächtigt, zwischen 24. September 2022 und 12. Oktober 2023 in diversen Kantonen 22 Einbruchsdiebstähle (Dossier S1-S22) begangen zu haben. Abgesehen von den Einbruchsdiebstählen S6-S10 soll A. die Delikte jeweils mit mindestens einer weiteren Person begangen haben. Namentlich soll er die Einbruchsdiebstähle S1-S5, welche das Untersuchungsamt Alt- stätten bereits am 17. Mai 2024 übernommen hat, zusammen mit unbekann- ter Täterschaft (mutmasslich D.) in den Kantonen St. Gallen und Schaffhau- sen verübt haben. Die Tat S1 und S2, beide begangen am 24. September 2022, wurden im Kanton St. Gallen am 24. September 2022 (23:42 Uhr) und 25. September 2022 (2:12 Uhr) angezeigt. Die Einbruchsdiebstähle S11-S15 in den Kantonen Zürich und Thurgau habe A. mit «E.» und S16-S17 sowie S22 im Kanton Graubünden mit B. begangen, wobei es sich bei S16 um ge- ringfügigen Diebstahl und Sachbeschädigung handelt. Schliesslich wird A. vorgeworfen, die Einbruchsdiebstähle S18-S21 in den Kantonen Zürich, Thurgau und Aargau zusammen mit B. und «F.» verübt zu haben.</w:t>
      </w:r>
    </w:p>
    <w:p>
      <w:r>
        <w:rPr>
          <w:b/>
        </w:rPr>
        <w:t>E. 3.3.2</w:t>
      </w:r>
    </w:p>
    <w:p>
      <w:r>
        <w:t>Dass die mit der schwersten Strafe bedrohte Tat der bandenmässig began- gene Diebstahl ist, ist zwischen den Parteien unbestritten. Der Gesuchsteller legt ausführlich und unter Verweis auf bisherige Ermittlungsergebnisse nach- vollziehbar dar, weshalb er davon ausgeht, dass A. bei den Einbruchsdieb- stählen S1-S5 zusammen mit einer weiteren Person (mutmasslich D.) im Sinne einer Bande gehandelt haben soll (act. 1, S. 4). Da Mittäter grundsätz- lich gemeinsam verfolgt und beurteilt werden, liegt der gesetzliche Gerichts-</w:t>
      </w:r>
    </w:p>
    <w:p>
      <w:r>
        <w:t>- 8 -</w:t>
      </w:r>
    </w:p>
    <w:p>
      <w:r>
        <w:t>stand für die Verfolgung und Beurteilung sämtlicher Mittäter oder/und Teil- nehmer im Kanton St. Gallen, wo die ersten Verfolgungshandlungen des bandenmässigen Diebstahls vorgenommen worden sind (vgl. Art. 29 Abs. 1 lit. b und Art. 33 Abs. 1 StPO; supra E. 2.2). Dies wird vom Kanton St. Gallen nicht in Abrede gestellt (act. 7, S. 2). Vielmehr wendet er gegen seine Zu- ständigkeit ein, es lägen für eine Verfahrenstrennung sachliche Gründe i.S.v. Art. 30 StPO vor, da A. festgenommen, mit den Tatvorwürfen konfrontiert und angeklagt worden sei. B., «F.» und «E.» seien hingegen unbekannten Aufenthalts und hätten – anders der ebenfalls nicht anwesende D. – im Kan- ton St. Gallen kein Delikt begangen. Wurden die Strafverfahren nach Art. 30 StPO getrennt, entfalle der gerichtsstandsrelevante Anknüpfungspunkt der Mittäterschaft für diesen Beschuldigten und es gelte wieder die örtliche Zu- ständigkeit. Um zu vermeiden, dass gegen Mittäter widersprüchliche Urteile hinsichtlich Sachverhaltsfeststellung, rechtlicher Würdigung und Strafzu- messung ergehe, sei konsequent – während laufender Untersuchung und mit abschliessendem Urteil – auf eine Eintragung im Strafregister zu achten (act. 7, S. 2 f.).</w:t>
      </w:r>
    </w:p>
    <w:p>
      <w:r>
        <w:rPr>
          <w:b/>
        </w:rPr>
        <w:t>E. 3.3.3</w:t>
      </w:r>
    </w:p>
    <w:p>
      <w:r>
        <w:t>Die vom Kanton St. Gallen vorgebrachten Argumente für die getrennte Ver- fahrensführung stellen keine triftigen Gründe dar, welche vorliegend ein Ab- weichen vom gesetzlichen Gerichtsstand gebieten. Gestützt auf das im Ge- such Dargelegte lässt sich nicht feststellen, dass es sich um verschiedene voneinander unabhängige Tätergruppen handelt, welche unter sich nur we- nige Querverbindungen aufweisen würden. Insbesondere soll A. an allen bis- her bekannten 22 Delikten beteiligt gewesen sein. Da die vier mutmasslichen Mittäter von A. derzeit unbekannten Aufenthalts sind und zu den Vorwürfen bisher nicht einvernommen werden konnten, stehen die zwischen ihnen und A. bestehenden Querverbindungen noch nicht fest. Laut Gesuchsteller kann sogar nicht ausgeschlossen werden, dass es sich bei der unbekannten Tä- terschaft der als S1-S5 erfassten Taten (mutmasslich D.) auch um einen der Mittäter handeln könnte, welcher von A. als «E.» und «F.» bezeichnet wor- den sei (supra E. 3.1). Da vorliegend 22 Delikte zur Beurteilung stehen und sämtliche Mittäter von A. unbekannten Aufenthalts sind, wird mit der Führung der Verfahren in mehreren Kantonen kein vom Gesuchsteller befürchtete Grossprozess verhindert, weshalb auch keine prozessökonomischen Gründe für das Abweichen vom gesetzlichen Gerichtsstand sprechen. Dies gilt umso mehr, als der Kanton St. Gallen die 22 gegenüber A. erhobenen Tatvorwürfe bereits angeklagt und auch die Dossier S1-S5, mutmasslich be- gangen von A. und D., im Mai 2024 übernommen hat. Die vorliegend mut- masslich mittäterschaftlich verbundenen Beschuldigten sind unter diesen Umständen einheitlich zu beurteilen. Die vom Kanton St. Gallen bereits vor- genommene Trennung der Verfahren steht der einheitlichen Beurteilung</w:t>
      </w:r>
    </w:p>
    <w:p>
      <w:r>
        <w:t>- 9 -</w:t>
      </w:r>
    </w:p>
    <w:p>
      <w:r>
        <w:t>nicht entgegen, da diese auch durch die getrennte, jedoch durch dieselbe Behörde vorgenommene Beurteilung sichergestellt werden kann (vgl. Ent- scheid des Bundesstrafgerichts BG.2008.26 vom 8. Januar 2009 E. 3.2).</w:t>
      </w:r>
    </w:p>
    <w:p>
      <w:r>
        <w:rPr>
          <w:b/>
        </w:rPr>
        <w:t>E. 4</w:t>
      </w:r>
    </w:p>
    <w:p>
      <w:r>
        <w:t>Das Gesuch ist gutzuheissen, und es sind die Strafverfolgungsbehörden des Kantons St. Gallen berechtigt und verpflichtet zu erklären, die A., B. und un- bekannter Täterschaft zur Last gelegten Straftaten zu verfolgen und zu be- urteilen.</w:t>
      </w:r>
    </w:p>
    <w:p>
      <w:r>
        <w:rPr>
          <w:b/>
        </w:rPr>
        <w:t>E. 5</w:t>
      </w:r>
    </w:p>
    <w:p>
      <w:r>
        <w:t>Praxisgemäss ist bei interkantonalen Gerichtsstandskonflikten keine Gerichtsgebühr zu erheben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