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BG.2024.38 vom 4. September 2024</w:t>
      </w:r>
    </w:p>
    <w:p>
      <w:r>
        <w:t>Bundesstrafgericht, 2024-09-04, DE</w:t>
      </w:r>
    </w:p>
    <w:p>
      <w:r>
        <w:rPr>
          <w:b/>
        </w:rPr>
        <w:t xml:space="preserve">Quelle: </w:t>
      </w:r>
      <w:r>
        <w:t>https://mcp.opencaselaw.ch/entscheid/bstger_BG.2024.38</w:t>
      </w:r>
    </w:p>
    <w:p>
      <w:r>
        <w:t>FR: TPF BG.2024.38 du 4 septembre 2024</w:t>
      </w:r>
    </w:p>
    <w:p>
      <w:r>
        <w:t>IT: TPF BG.2024.38 del 4 settembre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w:t>
      </w:r>
    </w:p>
    <w:p>
      <w:r>
        <w:t>- 7 -</w:t>
      </w:r>
    </w:p>
    <w:p>
      <w:r>
        <w:t>Ortes zuständig (Art. 31 Abs. 1 StPO). Der Ausführungsort befindet sich dort, wo der Täter gehandelt hat (BGE 86 IV 222 E. 1; TPF 2022 154 E. 3.2).</w:t>
      </w:r>
    </w:p>
    <w:p>
      <w:r>
        <w:t>Ist eine Straftat von mehreren Mittätern verübt worden, so sind die Behörden des Ortes zuständig, an dem zuerst Verfolgungshandlungen vorgenommen worden sind (Art. 33 Abs. 2 StPO).</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(TPF 2022 146 E. 2.1; Beschlüsse des Bun- desstrafgerichts BG.2022.49 vom 23. März 2023 E. 2.3; BG.2022.29 vom 21. November 2022 E. 3.3; BG.2011.49 vom 19. Januar 2012 E. 2.1).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(s. z.B. Beschlüsse des Bundesstrafgerichts BG.2022.31 vom 28. Septem- ber 2022 E. 2.1; BG.2013.15 vom 27. Juni 2013 E. 3.1; BG.2010.14 vom 20. September 2010 E. 2.1).</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w:t>
      </w:r>
    </w:p>
    <w:p>
      <w:r>
        <w:t>- 8 -</w:t>
      </w:r>
    </w:p>
    <w:p>
      <w:r>
        <w:t>Tatverdachts nicht aus (s. auch KARNUSIAN, Der Tatverdacht und seine Quel- len, in forumpoenale 2016, S. 352 und 354; ACKERMANN, Tatverdacht und Cicero, – in dubio contra suspicionem maleficii, in Niggli/Hurtado Pozo/ Queloz [Hrsg.], Festschrift für Franz Riklin, Zürich 2007, S. 319 ff.). Dabei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Der Gesuchsteller argumentiert, gemäss Art. 29 lit. c StGB werde eine be- sondere Pflicht, deren Verletzung die Strafbarkeit begründe oder erhöhe, und die nur der juristischen Person obliege, einer natürlichen Person zuge- rechnet, wenn diese als Mitarbeiterin mit selbständigen Entscheidungsbe- fugnissen in ihrem Tätigkeitsbereich einer juristischen Person handle. Hier- bei genüge, wenn die Mitarbeiterin interne Entscheidungsbefugnisse habe. Aus den belastenden Aussagen des Anzeigeerstatters lasse sich ableiten, dass allein A. selbständig über die Anstellung und Entlassung von Personen entschieden habe, deren Löhne festgesetzt und zur Auszahlung gebracht habe und auch zuständig gewesen sei, die Arbeitgeberpflichten der C. GmbH gegenüber den Sozialversicherungen wahrzunehmen. Allfällige Unterlas- sungen in dieser Hinsicht seien daher ihm auch im Rahmen einer möglichen strafrechtlichen Verantwortung zuzuweisen. Gestützt auf die Aussagen des Anzeigeerstatters lasse sich ohne Zweifel und in Anwendung des Grundsat- zes in dubio pro duriore ein genügender Tatverdacht gegen A. betreffend den Tatbestand des Missbrauchs von Lohnabzügen erstellen. Da im Kanton Aargau mit dem Tatbestand der Misswirtschaft im Sinne von Art. 156 StGB der mit schwerster Strafandrohung versehene Tatbestand untersucht werde, ergebe sich die Zuständigkeit des Kantons Aargau zur Verfahrensführung im Sinne von Art. 34 Abs. 1 Satz 1 StPO (act. 1 S. 3 ff.).</w:t>
      </w:r>
    </w:p>
    <w:p>
      <w:r>
        <w:rPr>
          <w:b/>
        </w:rPr>
        <w:t>E. 3.2</w:t>
      </w:r>
    </w:p>
    <w:p>
      <w:r>
        <w:t>Demgegenüber macht der Gesuchsgegner sinngemäss im Wesentlichen gel- tend, die Sache sei vorliegend nicht spruchreif, weshalb Art. 34 Abs. 1 StPO nicht zur Anwendung komme (act. 3).</w:t>
      </w:r>
    </w:p>
    <w:p>
      <w:r>
        <w:t>Der Gesuchsgegner führt im Einzelnen aus, Art. 29 StGB sehe zwar vor, dass auch faktischen Organen die Verantwortlichkeit zugerechnet werden könne, es handle sich dabei aber um einen Sonderfall. Grundsätzlich sei demnach die Behörde, welche eine Verfahrensübernahme verlange, beweis- pflichtig, dass effektiv eine faktische Organstellung vorliege. Nach Auffas- sung des Gesuchsgegners wäre zuerst ein Verfahren gegen D. zu führen und anschliessend wäre abzuklären gewesen, wer in der C. GmbH effektiv</w:t>
      </w:r>
    </w:p>
    <w:p>
      <w:r>
        <w:t>- 9 -</w:t>
      </w:r>
    </w:p>
    <w:p>
      <w:r>
        <w:t>das Sagen und die Verantwortung gehabt habe. Man hätte – so der Gesuchs- gegner weiter – abklären können, wer die Arbeitsverträge gemacht und unter- schrieben habe, wer jeweils Lohnzahlungen ab dem Geschäftskonto ausge- löst habe und wer gegenüber Behörden etc. als Geschäftsführer aufgetreten sei. All diese Abklärungen seien unterlassen worden und die Untersuchung sei einseitig und ungerechtfertigt auf A. fokussiert gewesen. Ob dieser effek- tiv eine faktische Organstellung gehabt habe, lasse sich aber derzeit nicht feststellen. Die von der Staatsanwaltschaft Zürich-Limmat zur Stellung der Gerichtsstandanfrage getätigten Abklärungen zur faktischen Organstellung seien klar ungenügend (act. 3 S. 2).</w:t>
      </w:r>
    </w:p>
    <w:p>
      <w:r>
        <w:rPr>
          <w:b/>
        </w:rPr>
        <w:t>E. 3.3</w:t>
      </w:r>
    </w:p>
    <w:p>
      <w:r>
        <w:t>Gegen A. wird im Kanton Zürich ein Strafverfahren wegen «Missbrauchs von Lohnabzügen etc.» (s. supra lit. B) und im Kanton Aargau ein Strafverfahren wegen eines schwereren Delikts geführt (s. supra lit. A). Dass aufgrund der vorliegenden Akten der vom Geschädigten gegenüber A. erhobene Vorwurf des Missbrauchs von Lohnabzügen von vornherein als haltlos oder sicher ausgeschlossen zu beurteilen wäre, vermag der Gesuchsgegner mit keiner seiner Einwendungen aufzuzeigen und ist auch nicht ersichtlich. Um unnötige Wiederholungen zu vermeiden, kann vollumfänglich auf die entsprechenden Ausführungen des Gesuchstellers verwiesen werden. Dass A. mit D. in Mit- täterschaft gehandelt haben soll, macht der Gesuchsgegner nicht geltend. Ebenso wenig brachte er vor, eine allfällige Mittäterschaft von D. bzw. die Einleitung eines entsprechenden Strafverfahrens gegen diesen würde sich vorliegend gerichtsstandsrechtlich insofern auswirken, als damit für beide Beschuldigte ein Gerichtsstand auf dem Gebiet des Gesuchstellers begrün- det würde. Der Gesuchsgegner machte ebenfalls nicht geltend, dass eine allfällige eigenständige strafbare Tätigkeit von D. bzw. die Einleitung eines getrennten Strafverfahrens gegen diesen sich auf den Gerichtsstand betref- fend A. auswirken würde. Unter den geprüften Gesichtspunkten erweist sich die Strafsache somit als spruchreif und gestützt auf Art. 34 Abs. 1 StPO ist der Kanton Aargau für die Verfolgung der A. im Kanton Zürich vorgeworfe- nen Delikte zuständig, da im Kanton Aargau gegen A. ein Strafverfahren we- gen eines schwereren Delikts geführt wird.</w:t>
      </w:r>
    </w:p>
    <w:p>
      <w:r>
        <w:rPr>
          <w:b/>
        </w:rPr>
        <w:t>E. 4</w:t>
      </w:r>
    </w:p>
    <w:p>
      <w:r>
        <w:t>Zusammenfassend ist das Gesuch gutzuheissen, und es sind die Strafver- folgungsbehörden des Kantons Aargau berechtigt und verpflichtet zu erklä- ren, die A. zur Last gelegten Straftaten zu verfolgen und zu beurteilen.</w:t>
      </w:r>
    </w:p>
    <w:p>
      <w:r>
        <w:rPr>
          <w:b/>
        </w:rPr>
        <w:t>E. 5</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