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BG.2024.29 vom 7. November 2024</w:t>
      </w:r>
    </w:p>
    <w:p>
      <w:r>
        <w:t>Bundesstrafgericht, 2024-11-07, DE</w:t>
      </w:r>
    </w:p>
    <w:p>
      <w:r>
        <w:rPr>
          <w:b/>
        </w:rPr>
        <w:t xml:space="preserve">Quelle: </w:t>
      </w:r>
      <w:r>
        <w:t>https://mcp.opencaselaw.ch/entscheid/bstger_BG.2024.29</w:t>
      </w:r>
    </w:p>
    <w:p>
      <w:r>
        <w:t>FR: TPF BG.2024.29 du 7 novembre 2024</w:t>
      </w:r>
    </w:p>
    <w:p>
      <w:r>
        <w:t>IT: TPF BG.2024.29 del 7 novembre 2024</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TPF 2019 62 E. 1; TPF 2011 94 E. 2.2). Die Behörden, welche be- rechtigt sind, ihren Kanton im Meinungsaustausch und im Verfahren vor der Beschwerdekammer zu vertreten, bestimmen sich nach dem jeweiligen kan- tonalen Recht (Art. 14 Abs. 4 StPO).</w:t>
      </w:r>
    </w:p>
    <w:p>
      <w:r>
        <w:rPr>
          <w:b/>
        </w:rPr>
        <w:t>E. 1.2</w:t>
      </w:r>
    </w:p>
    <w:p>
      <w:r>
        <w:t>Die Generalstaatsanwältin oder der Generalstaatsanwalt des Kantons Frei- burg ist unter Vorbehalt einer Delegation grundsätzlich berechtigt, den Ge- suchsteller bei interkantonalen Gerichtsstandskonflikten vor der Beschwer- dekammer zu vertreten (Art. 135 Abs. 2 des Justizgesetzes des Kantons Freiburg vom 31. Mai 2010 [JG/FR; SGF 130.1]). Auf Seiten des Gesuchs- gegners steht diese Befugnis der GStA BE zu (Art. 24 lit. b des Einführungs- gesetzes zur Zivilprozessordnung, zur Strafprozessordnung und zur Jugend- strafprozessordnung des Kantons Bern vom 11. Juni 2009 [EG ZSJ/BE; BSG 271.1]).</w:t>
      </w:r>
    </w:p>
    <w:p>
      <w:r>
        <w:rPr>
          <w:b/>
        </w:rPr>
        <w:t>E. 1.3</w:t>
      </w:r>
    </w:p>
    <w:p>
      <w:r>
        <w:t>Die Parteien haben vor Einreichung des Gesuchs einen Meinungsaustausch mit mehreren Schriftenwechseln durchgeführt, wobei sich keine Einigung ergab. Der Meinungsaustausch ist deshalb als abgeschlossen zu betrach- ten.</w:t>
      </w:r>
    </w:p>
    <w:p>
      <w:r>
        <w:t>- 5 -</w:t>
      </w:r>
    </w:p>
    <w:p>
      <w:r>
        <w:rPr>
          <w:b/>
        </w:rPr>
        <w:t>E. 1.4</w:t>
      </w:r>
    </w:p>
    <w:p>
      <w:r>
        <w:t>Gemäss klarer gesetzlicher Anordnung in Art. 40 Abs. 2 StPO ist derjenige Kanton zur Anrufung des Bundesstrafgerichts verpflichtet, der zuerst mit der Sache befasst war. Die Formulierung «zuerst mit der Sache befasst war» lehnt sich an das forum praeventionis an. Das Gesuch ist von derjenigen Staatsanwaltschaft an die Beschwerdekammer des Bundesstrafgerichts ein- zureichen, welche zuerst Verfolgungshandlungen vorgenommen hat resp. von Verfolgungshandlungen, z.B. i.S. einer eingegangenen Strafanzeige, betroffen ist (BAUMGARTNER, Die Zuständigkeit im Strafverfahren, 2014, S. 483). Das ist vorliegend unstreitig der Kanton Bern, der mit der Entgegen- nahme der Strafanzeige vom 14. Januar 2024 mehr als einen Monat vor dem Kanton Freiburg Verfahrenshandlungen vornahm (vgl. oben Lit. A). Es wäre deshalb gemäss Art. 40 Abs. 2 StPO Sache des Gesuchsgegners gewesen, nach dem Meinungsaustausch, der keine Einigung ergab, unverzüglich, d.h. gemäss der Gerichtspraxis innert 10 Tagen an die Beschwerdekammer zu gelangen. Nur wenn es streitig wäre, welcher Kanton zuerst mit der Sache befasst war, würde der Kanton in Frage kommen, der den Meinungsaus- tausch eröffnet hat. Das ist in casu nicht der Fall. Dabei kann vorliegend of- fenbleiben, ob der Meinungsaustausch erst mit dem letzten Schreiben der GStA BE vom 16. Mai 2024 an die stv. GStA FR oder bereits früher abge- schlossen war (vgl. hierzu Beschluss des Bundesstrafgerichts BG.2024.6 vom 29. Februar 2024 E. 1). Jedenfalls ist der Gesuchsgegner als erstbe- fasster Kanton seiner Pflicht nicht nachgekommen und er hat auch keine zwingenden Gründe für ein Abweichen von der 10-Tagesfrist dargelegt, wes- halb es sich im vorliegenden Fall rechtfertigt, ohne Eintreten auf das Gesuch und ohne weitere materielle Prüfung des Gerichtsstandskonflikts die Zustän- digkeit des Gesuchsgegners aufgrund dessen Säumnis bei der Lösung die- ses Konflikts festzulegen (vgl. TPF 2011 150).</w:t>
      </w:r>
    </w:p>
    <w:p>
      <w:r>
        <w:rPr>
          <w:b/>
        </w:rPr>
        <w:t>E. 2</w:t>
      </w:r>
    </w:p>
    <w:p>
      <w:r>
        <w:t>Praxisgemäss ist bei interkantonalen Gerichtsstandskonflikten keine Ge- richtsgebühr zu erheben (TPF 2023 130 E. 5.1).</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