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BG.2024.26 vom 19. Juli 2024</w:t>
      </w:r>
    </w:p>
    <w:p>
      <w:r>
        <w:t>Bundesstrafgericht, 2024-07-19, DE</w:t>
      </w:r>
    </w:p>
    <w:p>
      <w:r>
        <w:rPr>
          <w:b/>
        </w:rPr>
        <w:t xml:space="preserve">Quelle: </w:t>
      </w:r>
      <w:r>
        <w:t>https://mcp.opencaselaw.ch/entscheid/bstger_BG.2024.26</w:t>
      </w:r>
    </w:p>
    <w:p>
      <w:r>
        <w:t>FR: TPF BG.2024.26 du 19 juillet 2024</w:t>
      </w:r>
    </w:p>
    <w:p>
      <w:r>
        <w:t>IT: TPF BG.2024.26 del 19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Gemäss § 107 Abs. 1 lit. b des Gesetzes über die Gerichts- und Behörden- organisation im Zivil- und Strafprozess des Kantons Zürich vom 10. Mai 2010 (GOG/ZH; LS 211.1) vertritt die Oberstaatsanwaltschaft des Kantons Zürich den Gesuchsteller in Gerichtsstandskonflikten vor dem Bundesstrafgericht. Auf Seiten des Gesuchsgegners steht diese Befugnis grundsätzlich dem Leitenden Oberstaatsanwalt zu (§ 46 Abs. 4 Satz 1 des Gesetzes über die Organisation der Zivil- und Strafrechtspflege des Kantons Zug vom 26. August 2010 [Gerichtsorganisationsgesetz, GOG/ZG; BGS 161.1]). Die Parteien führten zur Frage der Zuständigkeit hinsichtlich der vorliegenden Strafsache einen Meinungsaustausch, welcher mit dem Schreiben des Gesuchsgegners vom 16. Mai 2024 seinen Abschluss fand (Eingang beim Gesuchsteller am 21. Mai 2024; vgl. Verfahrensakten, pag. 10101026). Die</w:t>
      </w:r>
    </w:p>
    <w:p>
      <w:r>
        <w:t>- 4 -</w:t>
      </w:r>
    </w:p>
    <w:p>
      <w:r>
        <w:t>Postaufgabe des Gesuchs erfolgte am 30. Mai 2024 und somit innerhalb der analog anwendbaren zehntägigen Frist von Art. 396 Abs. 1 StPO.</w:t>
      </w:r>
    </w:p>
    <w:p>
      <w:r>
        <w:rPr>
          <w:b/>
        </w:rPr>
        <w:t>E. 2.1</w:t>
      </w:r>
    </w:p>
    <w:p>
      <w:r>
        <w:t>Die von der MROS an den Gesuchsteller übermittelten Verdachtsmeldun- gen, welche den Gesuchsteller zur Eröffnung des Strafverfahrens veranlass- ten, betrafen insbesondere die C. AG bzw. deren Geschäftsbeziehung bei der Bank D. Aus den Verdachtsmeldungen Nr. STR-023102 und Nr. STR- 024484 geht zusammengefasst hervor, dass die C. AG im Jahre 2020 ge- gründet wurde. Deren Verwaltungsrat besteht aus A. und B., welche (direkt oder über die Firma E. AG) die Aktienmehrheit der C. AG halten sollen. Die restlichen 26 % sollen ca. 283 Minderheitsaktionäre halten. Insbesondere aufgrund der Geldflüsse zwischen der C. AG und den auf A. (Luzern) bzw. B. (Zug), F. (Z./ZH), G. GmbH (Y./ZG), H. Family Office (X./ZH), I. oder Firma J. (W./ZH) lautenden Bankkonten sowie in Anbetracht der Aktientrans- aktionen, Bargeldbezüge oder Bezahlungen von Gütern oder Dienstleistun- gen bestehe der Verdacht des Investorenbetrugs bzw. die Möglichkeit, dass sich A. und B. des Betrugs, der ungetreuen Geschäftsbesorgung und der Geldwäscherei schuldig gemacht haben könnten. Das H. Family Office und F. könnten ebenfalls im Investorenbetrug involviert sein und bei I. würden Anhaltspunkte auf Veruntreuung oder Geldwäscherei hindeuten (Verfahren- sakten, pag. 20101001 ff.). Darüber hinaus sollen bei der Firma J. Anhalts- punkte für einen möglichen Betrug im Zusammenhang mit Covid-19-Krediten vorliegen.</w:t>
      </w:r>
    </w:p>
    <w:p>
      <w:r>
        <w:rPr>
          <w:b/>
        </w:rPr>
        <w:t>E. 2.2</w:t>
      </w:r>
    </w:p>
    <w:p>
      <w:r>
        <w:t>Im vorliegenden Verfahren führt der Gesuchsteller aus, den beiden Ver- dachtsmeldungen liege der folgende Gesamtsachverhalt zugrunde (vgl. act. 1, S. 2 f.):</w:t>
      </w:r>
    </w:p>
    <w:p>
      <w:r>
        <w:t>Den Beschuldigten A. und B. wird vorgeworfen, vom Zeitpunkt der Eröffnung der Kontobezie- hung bei der Bank D. im November 2022 bis Ende Juli 2023 durch arglistige Täuschung von ca. 283 im In- und Ausland ansässigen Privatanlegern Aktien der C. AG zu einem überteuer- ten Wert verkauft und die auf diese Weise erwirkten ca. Fr. 15.2 Mio. nicht für Geschäftszwe- cke der C. AG, sondern für private Auslagen verwendet zu haben. Dabei wurden gemäss der Verdachtsmeldung teilweise die Auffindung und Einziehung der auf diese Weise erlangten Vermögenswerte vereitelt und der Paper Trail unterbrochen.</w:t>
      </w:r>
    </w:p>
    <w:p>
      <w:r>
        <w:t>Für den Verkauf der überteuerten Aktien wurden gemäss Transaktionsanalyse der melde- erstattenden Bank gegen Zahlungen von Provisionen mehrere Vermittler beigezogen (K. AG mit Sitz in Zürich; L. GmbH mit Sitz in Zug; M. mit Wohnsitz in W./ZH). Aus den der MROS- Meldung beigelegten Unterlagen ergibt sich, dass Erlöse aus den Aktienverkäufen direkt auf</w:t>
      </w:r>
    </w:p>
    <w:p>
      <w:r>
        <w:t>- 5 -</w:t>
      </w:r>
    </w:p>
    <w:p>
      <w:r>
        <w:t>Bankkonten der C. AG einbezahlt und die Vermittlerprovisionen im deutlich kleineren Teilbe- trag des Erlöses dann von diesen Bankkonten aus bezahlt wurden.</w:t>
      </w:r>
    </w:p>
    <w:p>
      <w:r>
        <w:t>Weiter nahmen gemäss MROS-Meldung das H. Family Office in X./ZH sowie F. und I. mit Wohnsitzen in Z./ZH auf ihren Kontobeziehungen Zahlungen aus dem Verkauf von überbe- werteten Aktien der C. AG entgegen und leiteten die empfangenen Gelder nach Abzug ihrer Anteile von ca. 25 % auf das Konto der C. AG weiter. Aus den beigelegten Akten der melde- erstattenden Bank ergibt sich, dass diese Personen selbst (überteuerte) Aktien der C. AG gekauft und mit der Vereinbarung, Halter der Aktien zu bleiben, in eigenem Namen an Dritt- personen u.a. aus ihrem Freundes- und Verwandtenkreis weiterverkauft haben.</w:t>
      </w:r>
    </w:p>
    <w:p>
      <w:r>
        <w:t>Die Staatsanwaltschaft III eröffnete gestützt auf diese Ausführungen in der MROS Meldung - am 20. November 2023 unter der Verfahrensnummer 2023/10043332 gegen A. und B. eine Strafuntersuchung wegen Verdachts auf gewerbsmässigen Betrug (evtl. Ver- untreuung oder ungetreuer Geschäftsbesorgung) und Geldwäscherei, - am 22. November 2023 unter der Verfahrensnummer 2023/10044860 gegen F. und I. eine Strafuntersuchung wegen Verdachts auf Geldwäscherei, - und ebenfalls am 22. November 2023 unter der Verfahrensnummer 2023/10044862 gegen H. eine weitere Strafuntersuchung wegen Verdachts auf Geldwäscherei.</w:t>
      </w:r>
    </w:p>
    <w:p>
      <w:r>
        <w:rPr>
          <w:b/>
        </w:rPr>
        <w:t>E. 3.1.1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 dig, an dem zuerst Verfolgungshandlungen vorgenommen worden sind (Art. 34 Abs. 1 StPO). Begehen mehrere Beschuldigte zusammen in ver- schiedenen Kantonen mehrere Delikte, so sind Art. 33 Abs. 2 und Art. 34 Abs. 1 StPO so miteinander zu kombinieren, dass in der Regel alle Mitwir- kenden an dem Orte verfolgt werden, wo von einem Mittäter die mit der schwersten Strafe bedrohte Tat verübt worden ist. Bei gleich schweren Straf- drohungen bestimmt sich der Gerichtsstand für alle Beteiligten nach dem Ort, wo zuerst Verfolgungshandlungen vorgenommen worden sind (TPF 2022 146 E. 2.1 m.w.H.).</w:t>
      </w:r>
    </w:p>
    <w:p>
      <w:r>
        <w:rPr>
          <w:b/>
        </w:rPr>
        <w:t>E. 3.1.2</w:t>
      </w:r>
    </w:p>
    <w:p>
      <w:r>
        <w:t>Der Gesuchsteller bezeichnet die beiden Verwaltungsräte der C. AG in seinem Gesuch durchwegs als Haupttäter (vgl. u.a. act. 1, S. 6), wobei implizit wohl von Mittäterschaft ausgegangen wird. Zur Last gelegt werden A. und B. die</w:t>
      </w:r>
    </w:p>
    <w:p>
      <w:r>
        <w:t>- 6 -</w:t>
      </w:r>
    </w:p>
    <w:p>
      <w:r>
        <w:t>Delikte des gewerbsmässigen Betrugs (Art. 146 Abs. 2 StGB), eventuell der Veruntreuung (Art. 138 StGB) oder der ungetreuen Geschäftsbesorgung (Art. 158 StGB), sowie der Geldwäscherei (Art. 305bis StGB). Unter diesen Straf- taten ist der gewerbsmässige Betrug die mit der schwersten Strafe bedrohte («Freiheitsstrafe von sechs Monaten bis zu zehn Jahren» gemäss der am 1. Juli 2023 in Kraft getretenen Fassung). Für die vorliegende Gerichtsstands- frage in erster Linie entscheidend ist damit, an welchem Ort bzw. an welchen Orten die Beschuldigten gewerbsmässigen Betrug verübt haben sollen.</w:t>
      </w:r>
    </w:p>
    <w:p>
      <w:r>
        <w:rPr>
          <w:b/>
        </w:rPr>
        <w:t>E. 3.2.1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Tatsachen erforschen und alle dazu notwendigen Erhebungen durchführen (TPF 2019 62 E. 4.1 S. 64). Dazu gehört insbesondere die Ermittlung des Ausführungsortes (vgl. die Beschlüsse des Bundesstrafgerichts BG.2022.35 vom 19. Dezember 2022 E. 3.2.1; BG.2020.37 vom 30. September 2020 E. 3.3; SCHWERI/BÄNZIGER, Interkantonale Gerichtsstandsbestimmung in Strafsachen, 2. Aufl. 2004, N. 443). Wurden nicht alle für die Festlegung des Gerichtsstands wesentlichen Tatsachen erforscht und alle dazu notwendi- gen Erhebungen durchgeführt, ist auf das Gesuch grundsätzlich nicht einzu- treten (vgl. hierzu den Beschluss des Bundesstrafgerichts BG.2023.44 vom 23. Januar 2024 E. 2.1 in fine m.w.H.).</w:t>
      </w:r>
    </w:p>
    <w:p>
      <w:r>
        <w:rPr>
          <w:b/>
        </w:rPr>
        <w:t>E. 3.2.2</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w:t>
      </w:r>
    </w:p>
    <w:p>
      <w:r>
        <w:t>- 7 -</w:t>
      </w:r>
    </w:p>
    <w:p>
      <w:r>
        <w:t>entsprechenden Aktenstelle zu versehen sind (vgl. u.a. die Beschlüsse des Bundesstrafgerichts BG.2022.35 vom 19. Dezember 2022 E. 3.2.2; BG.2022.7 vom 23. Februar 2022 E. 1.2.2; BG.2021.11 vom 11. März 2021 E. 1.3; vgl. auch BAUMGARTNER, Die Zuständigkeit im Strafverfahren, 2014, S. 498; GUIDON/BÄNZIGER, Die aktuelle Rechtsprechung des Bundesstrafge- richts zum interkantonalen Gerichtsstand in Strafsachen, Jusletter vom 21. Mai 2007, N. 20).</w:t>
      </w:r>
    </w:p>
    <w:p>
      <w:r>
        <w:rPr>
          <w:b/>
        </w:rPr>
        <w:t>E. 3.2.3</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 stellen bzw. das schwerere Delikt anzunehmen ist (TPF 2021 167 E. 3.2.3; TPF 2019 82 E. 2.4; TPF 2019 52 E. 2.1 S. 55 f.; TPF 2019 28 E. 2.2 S. 31; jeweils m.w.H.).</w:t>
      </w:r>
    </w:p>
    <w:p>
      <w:r>
        <w:rPr>
          <w:b/>
        </w:rPr>
        <w:t>E. 3.3.1</w:t>
      </w:r>
    </w:p>
    <w:p>
      <w:r>
        <w:t>Ein Betrug gilt als dort verübt, wo der Täter jemanden durch Vorspiegelung oder Unterdrückung von Tatsachen zu einem Verhalten bestimmt, das den sich Irrenden oder einen Dritten am Vermögen schädigt (Urteil des Bundes- gerichts 6B_127/2013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 siehe den Beschluss des Bundesstrafgerichts BG.2021.17 vom 16. Juni 2021 E. 2.4.3). Gemäss bundesgerichtlicher Rechtsprechung ist Betrug ein Erfolgsdelikt mit einem doppelten Erfolg (kupiertes Erfolgsde- likt). Der Erfolg kann sowohl am Ort eintreten, wo die Entreicherung bzw. die beabsichtigte Bereicherung eingetreten ist, wie auch am Ort, wo die Irrtums- erregung oder die Vermögensdisposition stattgefunden haben (Beschluss des Bundesstrafgerichts BG.2021.17 vom 16. Juni 2021 E. 2.4.4 m.w.H.). In gerichtsstandsrechtlicher Hinsicht ist primär der Handlungsort massgebend, während dem Ort des Erfolgseintritts lediglich subsidiäre Bedeutung zu- kommt (BAUMGARTNER, a.a.O., S. 60; SCHWERI/BÄNZIGER, a.a.O., N. 65 und 95; siehe auch TPF 2022 154 E. 3.2; TPF 2022 140 E. 2.2 S. 142).</w:t>
      </w:r>
    </w:p>
    <w:p>
      <w:r>
        <w:t>- 8 -</w:t>
      </w:r>
    </w:p>
    <w:p>
      <w:r>
        <w:rPr>
          <w:b/>
        </w:rPr>
        <w:t>E. 3.3.2</w:t>
      </w:r>
    </w:p>
    <w:p>
      <w:r>
        <w:t>In ihrem ersten Ersuchen vom 23. November 2023 um Übernahme des Verfahrens gegen A. und B. führte die zuständige Strafbehörde des Gesuch- stellers zum Handlungsort einzig Folgendes aus (vgl. Verfahrensakten, pag. 10101005):</w:t>
      </w:r>
    </w:p>
    <w:p>
      <w:r>
        <w:t>Sämtliche der MROS-Meldung beigelegte Aktienkaufverträge zwischen der C. AG und den Käufern wurden von Seiten der C. AG jeweils in Zug unterzeichnet. Nachdem sich auch der Sitz der C. AG in Zug befindet und der Verwaltungsrat B. in Zug wohnhaft ist, ist davon aus- zugehen, dass die gemeldete Haupttat im Zuständigkeitsbereich Ihrer Amtsstelle (im Kanton Zug) begangen wurde.</w:t>
      </w:r>
    </w:p>
    <w:p>
      <w:r>
        <w:t>Diesen Ausführungen kann offensichtlich nicht entnommen werden, welcher Beschuldigte wo welche Täuschungshandlung begangen haben soll. Ohne Angaben zum Handlungs- oder Ausführungsort in Bezug auf die Straftat des gewerbsmässigen Betrugs ist die Beurteilung der Gerichtsstandsfrage jedoch nicht möglich. Zwar nennt BAUMGARTNER (a.a.O., S. 106) als mögli- che Täuschungshandlungen neben Gesprächen, Telefonaten, Schreiben und Vertragsverhandlungen auch Vertragsabschlüsse. Inwiefern alleine durch die Vertragsunterzeichnung durch die Verkäuferin eine arglistige Täuschung verübt werden soll, welche die Käuferschaft zu einem Verhalten bestimmt, wodurch diese sich selbst oder einen anderen am Vermögen schädigt, ist jedoch nicht ohne Weiteres nachvollziehbar. Es erscheint wesentlich plausibler, dass der durch die Täuschung herbeigeführte Irrtum auf Seiten der jeweiligen Käuferschaft bereits im Zeitpunkt vorgelegen haben muss, in welchem diese den Vertrag unterzeichnete. Käuferschaft und Verkäuferin tätigten die Vertragsunterzeichnung nicht zwingend am selben Ort bzw. die Käuferschaft leistete ihre Unterschrift nicht zwingend in Zug. Zudem erfordert der Entschluss der Käuferschaft, den Vertrag einzugehen, dass die mutmasslichen Täuschungshandlungen vor Vertragsabschluss erfolgt sein müssen. In gerichtsstandsrechtlicher Hinsicht kommt dem Ort der Vertragsunterzeichnung durch die Verkäuferschaft somit nicht von vornhe- rein entscheidende Bedeutung zu. Primär ist massgebend, wo die mutmass- liche Täterschaft die Täuschungshandlungen vorgenommen hat bzw. wo die Käuferschaft getäuscht wurde. Diese Elemente sind vorliegend nicht ermit- telt. Im aktuellen Verfahrensstand sind Annahmen zu den handelnden Personen und deren Rollen sowie zu den massgebenden Handlungsorten lediglich Hypothesen, welche einzig durch weitergehende Ermittlungen weiter geklärt werden können.</w:t>
      </w:r>
    </w:p>
    <w:p>
      <w:r>
        <w:rPr>
          <w:b/>
        </w:rPr>
        <w:t>E. 3.3.3</w:t>
      </w:r>
    </w:p>
    <w:p>
      <w:r>
        <w:t>Aus der zweiten Anfrage der Strafbehörden des Gesuchstellers vom 25. März 2024 ergeben sich diesbezüglich kaum weitere Aufschlüsse. Darin wird u.a. ausgeführt, aus der Verdachtsmeldung und den beigelegten Unter- lagen ergäben sich in Zusammenhang mit Verdachtslage auf Anlagebetrug</w:t>
      </w:r>
    </w:p>
    <w:p>
      <w:r>
        <w:t>- 9 -</w:t>
      </w:r>
    </w:p>
    <w:p>
      <w:r>
        <w:t>auch nur Tatbeiträge der Verantwortlichen der C. AG (Verfahrensakten, pag. 10101021; siehe auch act. 1, S. 7). Welchen konkreten Handlungen diese «Tatbeiträge» entsprechen sollen und wo diese vorgenommen wurden, wird jedoch nirgends erläutert. Sofern der Gesuchsteller weiter aus- führte, der Handlungsort in Zusammenhang mit den vorliegend in Frage kommenden Betrugshandlungen könne aufgrund der bisherigen Erkennt- nisse nur jener Ort sein, wo die Aktien verkauft wurden (vgl. Verfahrensak- ten, pag. 10101023; siehe auch act. 1, S. 9), argumentiert er an den für die Festlegung des Gerichtsstands massgebenden Kriterien vorbei. Entschei- dend sind die Orte, wo mit Blick auf den möglichen Anlagebetrug Täu- schungshandlungen verübt wurden.</w:t>
      </w:r>
    </w:p>
    <w:p>
      <w:r>
        <w:rPr>
          <w:b/>
        </w:rPr>
        <w:t>E. 3.3.4</w:t>
      </w:r>
    </w:p>
    <w:p>
      <w:r>
        <w:t>Diesbezüglich führen auch die Ausführungen im vorliegenden Gesuch selbst nicht weiter. Immerhin lässt sich diesem mit Bezug auf die massgebenden Täuschungshandlungen entnehmen, es bestünden Anhaltspunkte, wonach die von A. und B. bei der Bank D. eingereichte Bewertungsanalyse unwahr und diese auch gegenüber Dritten für den Verkauf von Aktien der C. AG ver- wendet worden sei (act. 1, S. 4) bzw. «dass falsche Angaben gemacht wur- den» (act. 1, S. 5). Wie, gegenüber wem, wo, wann und durch wen entspre- chende Täuschungshandlungen erfolgt sein sollen, bleibt unklar. Ebenso, wenn den Beschuldigten A. und B. ohne weitere Konkretisierung «arglistige Täuschung» vorgeworfen wird oder ihnen «in Verdacht stehende Täu- schungshandlungen» unterstellt werden (act. 1, S. 5). Nicht weiter hilft zu- dem die Erwägung des Gesuchstellers, der Beschuldigte A. könnte alternativ von seinem Wohnsitz in Luzern aus gehandelt haben (act. 1, S. 5); auch hierbei handelt es sich lediglich um eine Hypothese.</w:t>
      </w:r>
    </w:p>
    <w:p>
      <w:r>
        <w:rPr>
          <w:b/>
        </w:rPr>
        <w:t>E. 4</w:t>
      </w:r>
    </w:p>
    <w:p>
      <w:r>
        <w:t>Nach dem Gesagten ist festzuhalten, dass es der Gesuchsteller unterlassen hat, in seinem Gesuch (aber auch im Rahmen des zuvor geführten Mei- nungsaustauschs) die für die Bestimmung des Gerichtsstandes erforderli- chen und wesentlichen Tatsachen darzulegen. Im vorliegenden Verfahren liegt es nicht an der Beschwerdekammer, die kantonalen Akten nach mögli- chen Handlungsorten der für die Gerichtsstandsbestimmung massgebenden Straftaten abzusuchen. Sollten sich diese aufgrund der vorliegenden Akten nicht bestimmen lassen, so fällt es in die Zuständigkeit der die Strafanzeige bzw. eine Meldung der MROS entgegennehmenden Strafverfolgungsbe- hörde diese Handlungsorte zu ermitteln (vgl. oben E. 3.2.1). Dabei wird – entgegen den bisherigen Äusserungen des Gesuchstellers (siehe u.a. act. 1, S. 9) – auch den möglichen involvierten Dritten oder den Tatbeiträgen der verschiedenen Vermittler bzw. deren Mitwirkung an möglichen Täuschungs- handlungen Beachtung zu schenken sein. Erst wenn die grundlegenden</w:t>
      </w:r>
    </w:p>
    <w:p>
      <w:r>
        <w:t>- 10 -</w:t>
      </w:r>
    </w:p>
    <w:p>
      <w:r>
        <w:t>Abklärungen zu den Handlungsorten getätigt worden sind, lässt sich allen- falls auch ein Schwerpunkt der deliktischen Tätigkeit bestimmen (vgl. Art. 38 Abs. 1 und Art. 40 Abs. 3 StPO). Ein solcher bestimmt sich – anders als der Gesuchsteller zu vertreten scheint (vgl. act. 1, S. 9) – nicht abstrakt nach den Domizilen oder Wohnsitzen allenfalls beteiligter Personen. Auf das vorlie- gende Gesuch ist mangels hinreichender Substantiierung nicht einzutreten.</w:t>
      </w:r>
    </w:p>
    <w:p>
      <w:r>
        <w:rPr>
          <w:b/>
        </w:rPr>
        <w:t>E. 5</w:t>
      </w:r>
    </w:p>
    <w:p>
      <w:r>
        <w:t>Praxisgemäss ist bei interkantonalen Gerichtsstandskonflikten keine Gerichtsgebühr zu erheben (vgl. Art. 423 Abs. 1 StPO i.V.m. Art. 66 Abs. 4 BGG per analogiam; TPF 2023 130 E. 5.1 m.w.H.).</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